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44" w:rsidRPr="0035079C" w:rsidRDefault="00643344" w:rsidP="00643344">
      <w:pPr>
        <w:pStyle w:val="aa"/>
        <w:spacing w:line="240" w:lineRule="auto"/>
        <w:rPr>
          <w:rFonts w:ascii="Times New Roman" w:hAnsi="Times New Roman" w:cs="Times New Roman"/>
          <w:sz w:val="24"/>
          <w:szCs w:val="24"/>
        </w:rPr>
      </w:pPr>
      <w:r w:rsidRPr="0035079C">
        <w:rPr>
          <w:rFonts w:ascii="Times New Roman" w:hAnsi="Times New Roman" w:cs="Times New Roman"/>
          <w:sz w:val="24"/>
          <w:szCs w:val="24"/>
        </w:rPr>
        <w:t xml:space="preserve">Г.И. </w:t>
      </w:r>
      <w:proofErr w:type="spellStart"/>
      <w:r w:rsidRPr="0035079C">
        <w:rPr>
          <w:rFonts w:ascii="Times New Roman" w:hAnsi="Times New Roman" w:cs="Times New Roman"/>
          <w:sz w:val="24"/>
          <w:szCs w:val="24"/>
        </w:rPr>
        <w:t>Грейсух</w:t>
      </w:r>
      <w:proofErr w:type="spellEnd"/>
      <w:r w:rsidRPr="0035079C">
        <w:rPr>
          <w:rFonts w:ascii="Times New Roman" w:hAnsi="Times New Roman" w:cs="Times New Roman"/>
          <w:sz w:val="24"/>
          <w:szCs w:val="24"/>
          <w:u w:val="single"/>
        </w:rPr>
        <w:t>,</w:t>
      </w:r>
      <w:r w:rsidRPr="0035079C">
        <w:rPr>
          <w:sz w:val="24"/>
          <w:szCs w:val="24"/>
          <w:u w:val="single"/>
        </w:rPr>
        <w:t xml:space="preserve"> </w:t>
      </w:r>
      <w:r w:rsidRPr="0035079C">
        <w:rPr>
          <w:rFonts w:ascii="Times New Roman" w:hAnsi="Times New Roman" w:cs="Times New Roman"/>
          <w:i/>
          <w:color w:val="0000FF"/>
          <w:sz w:val="24"/>
          <w:szCs w:val="24"/>
          <w:u w:val="single"/>
        </w:rPr>
        <w:t>subscribing_2002@mail.ru</w:t>
      </w:r>
      <w:r w:rsidRPr="0035079C">
        <w:rPr>
          <w:rFonts w:ascii="Times New Roman" w:hAnsi="Times New Roman" w:cs="Times New Roman"/>
          <w:sz w:val="24"/>
          <w:szCs w:val="24"/>
        </w:rPr>
        <w:t>, С.А. Степанов,</w:t>
      </w:r>
      <w:r w:rsidRPr="0035079C">
        <w:rPr>
          <w:rFonts w:ascii="Times New Roman" w:hAnsi="Times New Roman" w:cs="Times New Roman"/>
          <w:color w:val="000000"/>
          <w:sz w:val="24"/>
          <w:szCs w:val="24"/>
        </w:rPr>
        <w:t xml:space="preserve"> </w:t>
      </w:r>
      <w:r w:rsidRPr="0035079C">
        <w:rPr>
          <w:rFonts w:ascii="Times New Roman" w:hAnsi="Times New Roman" w:cs="Times New Roman"/>
          <w:sz w:val="24"/>
          <w:szCs w:val="24"/>
        </w:rPr>
        <w:t>А.И. Антонов,</w:t>
      </w:r>
      <w:r w:rsidRPr="0035079C">
        <w:rPr>
          <w:sz w:val="24"/>
          <w:szCs w:val="24"/>
        </w:rPr>
        <w:t xml:space="preserve"> </w:t>
      </w:r>
      <w:r w:rsidRPr="0035079C">
        <w:rPr>
          <w:rFonts w:ascii="Times New Roman" w:hAnsi="Times New Roman" w:cs="Times New Roman"/>
          <w:sz w:val="24"/>
          <w:szCs w:val="24"/>
        </w:rPr>
        <w:t xml:space="preserve">В.А. Данилов, Б.А. Усиевич </w:t>
      </w:r>
    </w:p>
    <w:p w:rsidR="00643344" w:rsidRPr="0035079C" w:rsidRDefault="00643344" w:rsidP="00643344">
      <w:pPr>
        <w:pStyle w:val="Default"/>
        <w:spacing w:before="120"/>
        <w:rPr>
          <w:rFonts w:ascii="Times New Roman" w:hAnsi="Times New Roman" w:cs="Times New Roman"/>
          <w:u w:val="single"/>
        </w:rPr>
      </w:pPr>
      <w:r w:rsidRPr="0035079C">
        <w:rPr>
          <w:rFonts w:ascii="Times New Roman" w:hAnsi="Times New Roman" w:cs="Times New Roman"/>
          <w:u w:val="single"/>
        </w:rPr>
        <w:t xml:space="preserve">Гармонические </w:t>
      </w:r>
      <w:proofErr w:type="spellStart"/>
      <w:r w:rsidRPr="0035079C">
        <w:rPr>
          <w:rFonts w:ascii="Times New Roman" w:hAnsi="Times New Roman" w:cs="Times New Roman"/>
          <w:u w:val="single"/>
        </w:rPr>
        <w:t>киноформные</w:t>
      </w:r>
      <w:proofErr w:type="spellEnd"/>
      <w:r w:rsidRPr="0035079C">
        <w:rPr>
          <w:rFonts w:ascii="Times New Roman" w:hAnsi="Times New Roman" w:cs="Times New Roman"/>
          <w:u w:val="single"/>
        </w:rPr>
        <w:t xml:space="preserve"> микроструктуры в дифракционной оптике </w:t>
      </w:r>
    </w:p>
    <w:p w:rsidR="00643344" w:rsidRPr="0035079C" w:rsidRDefault="00643344" w:rsidP="00643344">
      <w:pPr>
        <w:pStyle w:val="Default"/>
        <w:spacing w:line="264" w:lineRule="auto"/>
        <w:rPr>
          <w:rFonts w:ascii="Times New Roman" w:hAnsi="Times New Roman" w:cs="Times New Roman"/>
          <w:u w:val="single"/>
        </w:rPr>
      </w:pPr>
      <w:r w:rsidRPr="0035079C">
        <w:rPr>
          <w:rFonts w:ascii="Times New Roman" w:hAnsi="Times New Roman" w:cs="Times New Roman"/>
          <w:u w:val="single"/>
        </w:rPr>
        <w:t>и голографии</w:t>
      </w:r>
      <w:r w:rsidRPr="0035079C">
        <w:rPr>
          <w:rFonts w:ascii="Times New Roman" w:hAnsi="Times New Roman" w:cs="Times New Roman"/>
          <w:u w:val="single"/>
        </w:rPr>
        <w:tab/>
      </w:r>
      <w:r w:rsidRPr="0035079C">
        <w:rPr>
          <w:rFonts w:ascii="Times New Roman" w:hAnsi="Times New Roman" w:cs="Times New Roman"/>
          <w:u w:val="single"/>
        </w:rPr>
        <w:tab/>
      </w:r>
      <w:r w:rsidRPr="0035079C">
        <w:rPr>
          <w:rFonts w:ascii="Times New Roman" w:hAnsi="Times New Roman" w:cs="Times New Roman"/>
          <w:u w:val="single"/>
        </w:rPr>
        <w:tab/>
      </w:r>
      <w:r w:rsidRPr="0035079C">
        <w:rPr>
          <w:rFonts w:ascii="Times New Roman" w:hAnsi="Times New Roman" w:cs="Times New Roman"/>
          <w:u w:val="single"/>
        </w:rPr>
        <w:tab/>
      </w:r>
      <w:r w:rsidRPr="0035079C">
        <w:rPr>
          <w:rFonts w:ascii="Times New Roman" w:hAnsi="Times New Roman" w:cs="Times New Roman"/>
          <w:u w:val="single"/>
        </w:rPr>
        <w:tab/>
      </w:r>
      <w:r w:rsidRPr="0035079C">
        <w:rPr>
          <w:rFonts w:ascii="Times New Roman" w:hAnsi="Times New Roman" w:cs="Times New Roman"/>
          <w:u w:val="single"/>
        </w:rPr>
        <w:tab/>
      </w:r>
      <w:r w:rsidRPr="0035079C">
        <w:rPr>
          <w:rFonts w:ascii="Times New Roman" w:hAnsi="Times New Roman" w:cs="Times New Roman"/>
          <w:u w:val="single"/>
        </w:rPr>
        <w:tab/>
      </w:r>
      <w:r w:rsidRPr="0035079C">
        <w:rPr>
          <w:rFonts w:ascii="Times New Roman" w:hAnsi="Times New Roman" w:cs="Times New Roman"/>
          <w:u w:val="single"/>
        </w:rPr>
        <w:tab/>
      </w:r>
      <w:r w:rsidRPr="0035079C">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35079C">
        <w:rPr>
          <w:rFonts w:ascii="Times New Roman" w:hAnsi="Times New Roman" w:cs="Times New Roman"/>
          <w:u w:val="single"/>
        </w:rPr>
        <w:t xml:space="preserve"> 24</w:t>
      </w:r>
    </w:p>
    <w:p w:rsidR="00643344" w:rsidRPr="00486FBA" w:rsidRDefault="00643344" w:rsidP="00643344">
      <w:pPr>
        <w:spacing w:before="120" w:after="0" w:line="240" w:lineRule="auto"/>
        <w:rPr>
          <w:rFonts w:ascii="Times New Roman" w:eastAsia="Times New Roman" w:hAnsi="Times New Roman" w:cs="Times New Roman"/>
          <w:color w:val="000000"/>
        </w:rPr>
      </w:pPr>
      <w:r w:rsidRPr="00486FBA">
        <w:rPr>
          <w:rFonts w:ascii="Times New Roman" w:eastAsia="Times New Roman" w:hAnsi="Times New Roman" w:cs="Times New Roman"/>
          <w:b/>
          <w:bCs/>
          <w:i/>
          <w:iCs/>
          <w:color w:val="000000"/>
        </w:rPr>
        <w:t>Аннотация</w:t>
      </w:r>
    </w:p>
    <w:p w:rsidR="00643344" w:rsidRPr="00486FBA" w:rsidRDefault="00643344" w:rsidP="00643344">
      <w:pPr>
        <w:autoSpaceDE w:val="0"/>
        <w:autoSpaceDN w:val="0"/>
        <w:adjustRightInd w:val="0"/>
        <w:spacing w:after="0" w:line="240" w:lineRule="auto"/>
        <w:ind w:firstLine="567"/>
        <w:rPr>
          <w:rFonts w:ascii="Times New Roman" w:hAnsi="Times New Roman" w:cs="Times New Roman"/>
          <w:b/>
          <w:i/>
        </w:rPr>
      </w:pPr>
      <w:r w:rsidRPr="00486FBA">
        <w:rPr>
          <w:rFonts w:ascii="Times New Roman" w:hAnsi="Times New Roman" w:cs="Times New Roman"/>
          <w:b/>
          <w:i/>
        </w:rPr>
        <w:t xml:space="preserve">В рамках скалярной и строгой теорий дифракции проведены исследования гармонических пилообразных микроструктур, имеющих глубину рельефа, существенно превышающую центральную длину волны рабочего спектрального диапазона. Показана возможность сохранения высокой дифракционной эффективности независимо от ширины рабочего спектрального диапазона и при значительных углах падения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уникальным свойствам гармонические линзы и дифракционные решётки, а также их </w:t>
      </w:r>
      <w:proofErr w:type="spellStart"/>
      <w:r w:rsidRPr="00486FBA">
        <w:rPr>
          <w:rFonts w:ascii="Times New Roman" w:hAnsi="Times New Roman" w:cs="Times New Roman"/>
          <w:b/>
          <w:i/>
        </w:rPr>
        <w:t>микрорастры</w:t>
      </w:r>
      <w:proofErr w:type="spellEnd"/>
      <w:r w:rsidRPr="00486FBA">
        <w:rPr>
          <w:rFonts w:ascii="Times New Roman" w:hAnsi="Times New Roman" w:cs="Times New Roman"/>
          <w:b/>
          <w:i/>
        </w:rPr>
        <w:t xml:space="preserve"> могут успешно пополнить элементную базу не только дифракционной оптики, но и защитной голографии. </w:t>
      </w:r>
    </w:p>
    <w:p w:rsidR="00643344" w:rsidRPr="00486FBA" w:rsidRDefault="00643344" w:rsidP="00643344">
      <w:pPr>
        <w:pStyle w:val="ab"/>
        <w:spacing w:after="0" w:line="240" w:lineRule="auto"/>
        <w:jc w:val="both"/>
        <w:rPr>
          <w:rFonts w:ascii="Times New Roman" w:hAnsi="Times New Roman" w:cs="Times New Roman"/>
          <w:b/>
          <w:i/>
        </w:rPr>
      </w:pPr>
      <w:r w:rsidRPr="00486FBA">
        <w:rPr>
          <w:rFonts w:ascii="Times New Roman" w:hAnsi="Times New Roman" w:cs="Times New Roman"/>
          <w:b/>
          <w:i/>
        </w:rPr>
        <w:t>Ключевые слова: гармонические пилообразные микроструктуры, скалярная и строгая теории дифракции, дифракционная эффективность, хроматизм.</w:t>
      </w:r>
    </w:p>
    <w:p w:rsidR="00643344" w:rsidRPr="00486FBA" w:rsidRDefault="00643344" w:rsidP="00643344">
      <w:pPr>
        <w:pStyle w:val="Default"/>
        <w:spacing w:before="120"/>
        <w:ind w:firstLine="567"/>
        <w:rPr>
          <w:rFonts w:ascii="Times New Roman" w:hAnsi="Times New Roman" w:cs="Times New Roman"/>
          <w:b/>
          <w:i/>
          <w:sz w:val="22"/>
          <w:szCs w:val="22"/>
          <w:lang w:val="en-US"/>
        </w:rPr>
      </w:pPr>
      <w:r w:rsidRPr="00486FBA">
        <w:rPr>
          <w:rFonts w:ascii="Times New Roman" w:hAnsi="Times New Roman" w:cs="Times New Roman"/>
          <w:b/>
          <w:i/>
          <w:sz w:val="22"/>
          <w:szCs w:val="22"/>
        </w:rPr>
        <w:t>Литература</w:t>
      </w:r>
    </w:p>
    <w:p w:rsidR="00643344" w:rsidRPr="00486FBA" w:rsidRDefault="00643344" w:rsidP="00643344">
      <w:pPr>
        <w:pStyle w:val="a"/>
        <w:numPr>
          <w:ilvl w:val="0"/>
          <w:numId w:val="0"/>
        </w:numPr>
        <w:rPr>
          <w:spacing w:val="-6"/>
          <w:sz w:val="22"/>
          <w:szCs w:val="22"/>
          <w:lang w:val="en-US"/>
        </w:rPr>
      </w:pPr>
      <w:r w:rsidRPr="00486FBA">
        <w:rPr>
          <w:spacing w:val="-6"/>
          <w:sz w:val="22"/>
          <w:szCs w:val="22"/>
          <w:lang w:val="en-US"/>
        </w:rPr>
        <w:t>1.</w:t>
      </w:r>
      <w:r w:rsidRPr="00486FBA">
        <w:rPr>
          <w:b/>
          <w:spacing w:val="-6"/>
          <w:sz w:val="22"/>
          <w:szCs w:val="22"/>
          <w:lang w:val="en-US"/>
        </w:rPr>
        <w:t xml:space="preserve"> </w:t>
      </w:r>
      <w:r w:rsidRPr="00486FBA">
        <w:rPr>
          <w:i/>
          <w:spacing w:val="-6"/>
          <w:sz w:val="22"/>
          <w:szCs w:val="22"/>
          <w:lang w:val="en-US"/>
        </w:rPr>
        <w:t>Sweeney, D.W.</w:t>
      </w:r>
      <w:r w:rsidRPr="00486FBA">
        <w:rPr>
          <w:spacing w:val="-6"/>
          <w:sz w:val="22"/>
          <w:szCs w:val="22"/>
          <w:lang w:val="en-US"/>
        </w:rPr>
        <w:t xml:space="preserve"> Harmonic diffractive lenses / D.W. Sweeney, G.E. </w:t>
      </w:r>
      <w:proofErr w:type="spellStart"/>
      <w:r w:rsidRPr="00486FBA">
        <w:rPr>
          <w:spacing w:val="-6"/>
          <w:sz w:val="22"/>
          <w:szCs w:val="22"/>
          <w:lang w:val="en-US"/>
        </w:rPr>
        <w:t>Sommargen</w:t>
      </w:r>
      <w:proofErr w:type="spellEnd"/>
      <w:r w:rsidRPr="00486FBA">
        <w:rPr>
          <w:spacing w:val="-6"/>
          <w:sz w:val="22"/>
          <w:szCs w:val="22"/>
          <w:lang w:val="en-US"/>
        </w:rPr>
        <w:t xml:space="preserve"> / </w:t>
      </w:r>
    </w:p>
    <w:p w:rsidR="00643344" w:rsidRPr="00486FBA" w:rsidRDefault="00643344" w:rsidP="00643344">
      <w:pPr>
        <w:pStyle w:val="a"/>
        <w:numPr>
          <w:ilvl w:val="0"/>
          <w:numId w:val="0"/>
        </w:numPr>
        <w:rPr>
          <w:spacing w:val="-6"/>
          <w:sz w:val="22"/>
          <w:szCs w:val="22"/>
          <w:lang w:val="en-US"/>
        </w:rPr>
      </w:pPr>
      <w:proofErr w:type="gramStart"/>
      <w:r w:rsidRPr="00486FBA">
        <w:rPr>
          <w:spacing w:val="-6"/>
          <w:sz w:val="22"/>
          <w:szCs w:val="22"/>
          <w:lang w:val="en-US"/>
        </w:rPr>
        <w:t>Applied Optics.</w:t>
      </w:r>
      <w:proofErr w:type="gramEnd"/>
      <w:r w:rsidRPr="00486FBA">
        <w:rPr>
          <w:spacing w:val="-6"/>
          <w:sz w:val="22"/>
          <w:szCs w:val="22"/>
          <w:lang w:val="en-US"/>
        </w:rPr>
        <w:t xml:space="preserve"> – 1995. – Vol. 34. – N14. – P. 2469-2475.</w:t>
      </w:r>
    </w:p>
    <w:p w:rsidR="00643344" w:rsidRPr="00486FBA" w:rsidRDefault="00643344" w:rsidP="00643344">
      <w:pPr>
        <w:pStyle w:val="a"/>
        <w:numPr>
          <w:ilvl w:val="0"/>
          <w:numId w:val="0"/>
        </w:numPr>
        <w:rPr>
          <w:sz w:val="22"/>
          <w:szCs w:val="22"/>
        </w:rPr>
      </w:pPr>
      <w:r w:rsidRPr="00486FBA">
        <w:rPr>
          <w:spacing w:val="-6"/>
          <w:sz w:val="22"/>
          <w:szCs w:val="22"/>
        </w:rPr>
        <w:t xml:space="preserve">2. </w:t>
      </w:r>
      <w:r w:rsidRPr="00486FBA">
        <w:rPr>
          <w:i/>
          <w:sz w:val="22"/>
          <w:szCs w:val="22"/>
        </w:rPr>
        <w:t>Харитонов, С.И.</w:t>
      </w:r>
      <w:r w:rsidRPr="00486FBA">
        <w:rPr>
          <w:sz w:val="22"/>
          <w:szCs w:val="22"/>
        </w:rPr>
        <w:t xml:space="preserve"> </w:t>
      </w:r>
      <w:proofErr w:type="spellStart"/>
      <w:r w:rsidRPr="00486FBA">
        <w:rPr>
          <w:sz w:val="22"/>
          <w:szCs w:val="22"/>
        </w:rPr>
        <w:t>Геометрооптический</w:t>
      </w:r>
      <w:proofErr w:type="spellEnd"/>
      <w:r w:rsidRPr="00486FBA">
        <w:rPr>
          <w:sz w:val="22"/>
          <w:szCs w:val="22"/>
        </w:rPr>
        <w:t xml:space="preserve"> расчёт фокального пятна гармонической дифракционной линзы / С.И. Харитонов, С.Г. </w:t>
      </w:r>
      <w:proofErr w:type="spellStart"/>
      <w:r w:rsidRPr="00486FBA">
        <w:rPr>
          <w:sz w:val="22"/>
          <w:szCs w:val="22"/>
        </w:rPr>
        <w:t>Волотовский</w:t>
      </w:r>
      <w:proofErr w:type="spellEnd"/>
      <w:r w:rsidRPr="00486FBA">
        <w:rPr>
          <w:sz w:val="22"/>
          <w:szCs w:val="22"/>
        </w:rPr>
        <w:t xml:space="preserve">, С.Н. Хонина / Компьютерная оптика. – 2016. – Т. 40 </w:t>
      </w:r>
      <w:r w:rsidRPr="00486FBA">
        <w:rPr>
          <w:spacing w:val="-6"/>
          <w:sz w:val="22"/>
          <w:szCs w:val="22"/>
        </w:rPr>
        <w:t xml:space="preserve">. – </w:t>
      </w:r>
      <w:r w:rsidRPr="00486FBA">
        <w:rPr>
          <w:sz w:val="22"/>
          <w:szCs w:val="22"/>
        </w:rPr>
        <w:t xml:space="preserve">№ 3. – С. 331-337. </w:t>
      </w:r>
    </w:p>
    <w:p w:rsidR="00643344" w:rsidRPr="00486FBA" w:rsidRDefault="00643344" w:rsidP="00643344">
      <w:pPr>
        <w:pStyle w:val="a"/>
        <w:numPr>
          <w:ilvl w:val="0"/>
          <w:numId w:val="0"/>
        </w:numPr>
        <w:rPr>
          <w:spacing w:val="-6"/>
          <w:sz w:val="22"/>
          <w:szCs w:val="22"/>
        </w:rPr>
      </w:pPr>
      <w:r w:rsidRPr="00486FBA">
        <w:rPr>
          <w:spacing w:val="-6"/>
          <w:sz w:val="22"/>
          <w:szCs w:val="22"/>
        </w:rPr>
        <w:t xml:space="preserve">3. </w:t>
      </w:r>
      <w:r w:rsidRPr="00486FBA">
        <w:rPr>
          <w:i/>
          <w:sz w:val="22"/>
          <w:szCs w:val="22"/>
        </w:rPr>
        <w:t>Хонина, С.Н.</w:t>
      </w:r>
      <w:r w:rsidRPr="00486FBA">
        <w:rPr>
          <w:sz w:val="22"/>
          <w:szCs w:val="22"/>
        </w:rPr>
        <w:t xml:space="preserve"> Анализ фокусировки гармонической дифракционной линзой с учётом дисперсии показателя преломления / С.Н. Хонина, С.Г. </w:t>
      </w:r>
      <w:proofErr w:type="spellStart"/>
      <w:r w:rsidRPr="00486FBA">
        <w:rPr>
          <w:sz w:val="22"/>
          <w:szCs w:val="22"/>
        </w:rPr>
        <w:t>Волотовский</w:t>
      </w:r>
      <w:proofErr w:type="spellEnd"/>
      <w:r w:rsidRPr="00486FBA">
        <w:rPr>
          <w:sz w:val="22"/>
          <w:szCs w:val="22"/>
        </w:rPr>
        <w:t>, А.В. Устинов, С.И. Харитонов / Компьютерная оптика. – 2017. – Т. 41</w:t>
      </w:r>
      <w:r w:rsidRPr="00486FBA">
        <w:rPr>
          <w:spacing w:val="-6"/>
          <w:sz w:val="22"/>
          <w:szCs w:val="22"/>
        </w:rPr>
        <w:t xml:space="preserve">. – </w:t>
      </w:r>
      <w:r w:rsidRPr="00486FBA">
        <w:rPr>
          <w:sz w:val="22"/>
          <w:szCs w:val="22"/>
        </w:rPr>
        <w:t xml:space="preserve">№ 3. – С. 338-347. </w:t>
      </w:r>
    </w:p>
    <w:p w:rsidR="00643344" w:rsidRPr="00486FBA" w:rsidRDefault="00643344" w:rsidP="00643344">
      <w:pPr>
        <w:pStyle w:val="a"/>
        <w:numPr>
          <w:ilvl w:val="0"/>
          <w:numId w:val="0"/>
        </w:numPr>
        <w:rPr>
          <w:spacing w:val="-6"/>
          <w:sz w:val="22"/>
          <w:szCs w:val="22"/>
        </w:rPr>
      </w:pPr>
      <w:r w:rsidRPr="00486FBA">
        <w:rPr>
          <w:spacing w:val="-6"/>
          <w:sz w:val="22"/>
          <w:szCs w:val="22"/>
        </w:rPr>
        <w:t xml:space="preserve">4. </w:t>
      </w:r>
      <w:r w:rsidRPr="00486FBA">
        <w:rPr>
          <w:i/>
          <w:spacing w:val="-6"/>
          <w:sz w:val="22"/>
          <w:szCs w:val="22"/>
        </w:rPr>
        <w:t>Слюсарев,</w:t>
      </w:r>
      <w:r w:rsidRPr="00486FBA">
        <w:rPr>
          <w:i/>
          <w:spacing w:val="-6"/>
          <w:sz w:val="22"/>
          <w:szCs w:val="22"/>
          <w:lang w:val="en-US"/>
        </w:rPr>
        <w:t> </w:t>
      </w:r>
      <w:r w:rsidRPr="00486FBA">
        <w:rPr>
          <w:i/>
          <w:spacing w:val="-6"/>
          <w:sz w:val="22"/>
          <w:szCs w:val="22"/>
        </w:rPr>
        <w:t xml:space="preserve">Г.Г. </w:t>
      </w:r>
      <w:r w:rsidRPr="00486FBA">
        <w:rPr>
          <w:spacing w:val="-6"/>
          <w:sz w:val="22"/>
          <w:szCs w:val="22"/>
        </w:rPr>
        <w:t xml:space="preserve">Оптические системы с фазовыми слоями / Г.Г. Слюсарев / </w:t>
      </w:r>
    </w:p>
    <w:p w:rsidR="00643344" w:rsidRPr="00486FBA" w:rsidRDefault="00643344" w:rsidP="00643344">
      <w:pPr>
        <w:pStyle w:val="a"/>
        <w:numPr>
          <w:ilvl w:val="0"/>
          <w:numId w:val="0"/>
        </w:numPr>
        <w:rPr>
          <w:spacing w:val="-6"/>
          <w:sz w:val="22"/>
          <w:szCs w:val="22"/>
        </w:rPr>
      </w:pPr>
      <w:r w:rsidRPr="00486FBA">
        <w:rPr>
          <w:spacing w:val="-6"/>
          <w:sz w:val="22"/>
          <w:szCs w:val="22"/>
        </w:rPr>
        <w:t>Д</w:t>
      </w:r>
      <w:r w:rsidRPr="00486FBA">
        <w:rPr>
          <w:sz w:val="22"/>
          <w:szCs w:val="22"/>
        </w:rPr>
        <w:t>оклады Академии наук СССР</w:t>
      </w:r>
      <w:r w:rsidRPr="00486FBA">
        <w:rPr>
          <w:spacing w:val="-6"/>
          <w:sz w:val="22"/>
          <w:szCs w:val="22"/>
        </w:rPr>
        <w:t xml:space="preserve">. </w:t>
      </w:r>
      <w:r w:rsidRPr="00486FBA">
        <w:rPr>
          <w:sz w:val="22"/>
          <w:szCs w:val="22"/>
        </w:rPr>
        <w:t xml:space="preserve">— </w:t>
      </w:r>
      <w:r w:rsidRPr="00486FBA">
        <w:rPr>
          <w:spacing w:val="-6"/>
          <w:sz w:val="22"/>
          <w:szCs w:val="22"/>
        </w:rPr>
        <w:t>1957. Т.</w:t>
      </w:r>
      <w:r w:rsidRPr="00486FBA">
        <w:rPr>
          <w:spacing w:val="-6"/>
          <w:sz w:val="22"/>
          <w:szCs w:val="22"/>
          <w:lang w:val="en-US"/>
        </w:rPr>
        <w:t> </w:t>
      </w:r>
      <w:r w:rsidRPr="00486FBA">
        <w:rPr>
          <w:spacing w:val="-6"/>
          <w:sz w:val="22"/>
          <w:szCs w:val="22"/>
        </w:rPr>
        <w:t xml:space="preserve">113. </w:t>
      </w:r>
      <w:r w:rsidRPr="00486FBA">
        <w:rPr>
          <w:sz w:val="22"/>
          <w:szCs w:val="22"/>
        </w:rPr>
        <w:t xml:space="preserve">— </w:t>
      </w:r>
      <w:r w:rsidRPr="00486FBA">
        <w:rPr>
          <w:spacing w:val="-6"/>
          <w:sz w:val="22"/>
          <w:szCs w:val="22"/>
        </w:rPr>
        <w:t>№</w:t>
      </w:r>
      <w:r w:rsidRPr="00486FBA">
        <w:rPr>
          <w:spacing w:val="-6"/>
          <w:sz w:val="22"/>
          <w:szCs w:val="22"/>
          <w:lang w:val="en-US"/>
        </w:rPr>
        <w:t> </w:t>
      </w:r>
      <w:r w:rsidRPr="00486FBA">
        <w:rPr>
          <w:spacing w:val="-6"/>
          <w:sz w:val="22"/>
          <w:szCs w:val="22"/>
        </w:rPr>
        <w:t>4. – С.</w:t>
      </w:r>
      <w:r w:rsidRPr="00486FBA">
        <w:rPr>
          <w:spacing w:val="-6"/>
          <w:sz w:val="22"/>
          <w:szCs w:val="22"/>
          <w:lang w:val="en-US"/>
        </w:rPr>
        <w:t> </w:t>
      </w:r>
      <w:r w:rsidRPr="00486FBA">
        <w:rPr>
          <w:spacing w:val="-6"/>
          <w:sz w:val="22"/>
          <w:szCs w:val="22"/>
        </w:rPr>
        <w:t>780-782.</w:t>
      </w:r>
    </w:p>
    <w:p w:rsidR="00643344" w:rsidRPr="00486FBA" w:rsidRDefault="00643344" w:rsidP="00643344">
      <w:pPr>
        <w:pStyle w:val="a"/>
        <w:numPr>
          <w:ilvl w:val="0"/>
          <w:numId w:val="0"/>
        </w:numPr>
        <w:tabs>
          <w:tab w:val="left" w:pos="284"/>
          <w:tab w:val="left" w:pos="426"/>
        </w:tabs>
        <w:rPr>
          <w:sz w:val="22"/>
          <w:szCs w:val="22"/>
          <w:lang w:val="en-US"/>
        </w:rPr>
      </w:pPr>
      <w:r w:rsidRPr="00486FBA">
        <w:rPr>
          <w:spacing w:val="-6"/>
          <w:sz w:val="22"/>
          <w:szCs w:val="22"/>
          <w:lang w:val="en-US"/>
        </w:rPr>
        <w:t xml:space="preserve">5. </w:t>
      </w:r>
      <w:proofErr w:type="spellStart"/>
      <w:r w:rsidRPr="00486FBA">
        <w:rPr>
          <w:sz w:val="22"/>
          <w:szCs w:val="22"/>
          <w:lang w:val="en-US"/>
        </w:rPr>
        <w:t>Zemax</w:t>
      </w:r>
      <w:proofErr w:type="spellEnd"/>
      <w:r w:rsidRPr="00486FBA">
        <w:rPr>
          <w:sz w:val="22"/>
          <w:szCs w:val="22"/>
          <w:lang w:val="en-US"/>
        </w:rPr>
        <w:t xml:space="preserve"> Virtual Prototyping / </w:t>
      </w:r>
      <w:hyperlink r:id="rId6" w:history="1">
        <w:r w:rsidRPr="00486FBA">
          <w:rPr>
            <w:rStyle w:val="a5"/>
            <w:sz w:val="22"/>
            <w:szCs w:val="22"/>
            <w:lang w:val="de-DE"/>
          </w:rPr>
          <w:t>http://www.radiantzemax.com</w:t>
        </w:r>
      </w:hyperlink>
    </w:p>
    <w:p w:rsidR="00643344" w:rsidRPr="00486FBA" w:rsidRDefault="00643344" w:rsidP="00643344">
      <w:pPr>
        <w:pStyle w:val="a"/>
        <w:numPr>
          <w:ilvl w:val="0"/>
          <w:numId w:val="0"/>
        </w:numPr>
        <w:rPr>
          <w:spacing w:val="-6"/>
          <w:sz w:val="22"/>
          <w:szCs w:val="22"/>
          <w:lang w:val="en-US"/>
        </w:rPr>
      </w:pPr>
      <w:r w:rsidRPr="00486FBA">
        <w:rPr>
          <w:spacing w:val="-6"/>
          <w:sz w:val="22"/>
          <w:szCs w:val="22"/>
          <w:lang w:val="en-US"/>
        </w:rPr>
        <w:t xml:space="preserve">6. </w:t>
      </w:r>
      <w:proofErr w:type="spellStart"/>
      <w:r w:rsidRPr="00486FBA">
        <w:rPr>
          <w:i/>
          <w:spacing w:val="-6"/>
          <w:sz w:val="22"/>
          <w:szCs w:val="22"/>
          <w:lang w:val="en-US"/>
        </w:rPr>
        <w:t>Buralli</w:t>
      </w:r>
      <w:proofErr w:type="spellEnd"/>
      <w:r w:rsidRPr="00486FBA">
        <w:rPr>
          <w:i/>
          <w:spacing w:val="-6"/>
          <w:sz w:val="22"/>
          <w:szCs w:val="22"/>
          <w:lang w:val="en-US"/>
        </w:rPr>
        <w:t>, D.A.</w:t>
      </w:r>
      <w:r w:rsidRPr="00486FBA">
        <w:rPr>
          <w:spacing w:val="-6"/>
          <w:sz w:val="22"/>
          <w:szCs w:val="22"/>
          <w:lang w:val="en-US"/>
        </w:rPr>
        <w:t xml:space="preserve"> Optical performance of holographic </w:t>
      </w:r>
      <w:proofErr w:type="spellStart"/>
      <w:r w:rsidRPr="00486FBA">
        <w:rPr>
          <w:spacing w:val="-6"/>
          <w:sz w:val="22"/>
          <w:szCs w:val="22"/>
          <w:lang w:val="en-US"/>
        </w:rPr>
        <w:t>kinoforms</w:t>
      </w:r>
      <w:proofErr w:type="spellEnd"/>
      <w:r w:rsidRPr="00486FBA">
        <w:rPr>
          <w:spacing w:val="-6"/>
          <w:sz w:val="22"/>
          <w:szCs w:val="22"/>
          <w:lang w:val="en-US"/>
        </w:rPr>
        <w:t xml:space="preserve"> / D.A. </w:t>
      </w:r>
      <w:proofErr w:type="spellStart"/>
      <w:r w:rsidRPr="00486FBA">
        <w:rPr>
          <w:spacing w:val="-6"/>
          <w:sz w:val="22"/>
          <w:szCs w:val="22"/>
          <w:lang w:val="en-US"/>
        </w:rPr>
        <w:t>Buralli</w:t>
      </w:r>
      <w:proofErr w:type="spellEnd"/>
      <w:r w:rsidRPr="00486FBA">
        <w:rPr>
          <w:spacing w:val="-6"/>
          <w:sz w:val="22"/>
          <w:szCs w:val="22"/>
          <w:lang w:val="en-US"/>
        </w:rPr>
        <w:t>, G.M. Morris, J.R. Rogers / Applied Optics. - 1989. - Vol. 28. – N5. - P. 976-983.</w:t>
      </w:r>
    </w:p>
    <w:p w:rsidR="00643344" w:rsidRPr="00486FBA" w:rsidRDefault="00643344" w:rsidP="00643344">
      <w:pPr>
        <w:pStyle w:val="a"/>
        <w:numPr>
          <w:ilvl w:val="0"/>
          <w:numId w:val="0"/>
        </w:numPr>
        <w:shd w:val="clear" w:color="auto" w:fill="FFFFFF"/>
        <w:tabs>
          <w:tab w:val="left" w:pos="426"/>
        </w:tabs>
        <w:rPr>
          <w:sz w:val="22"/>
          <w:szCs w:val="22"/>
          <w:lang w:val="en-US"/>
        </w:rPr>
      </w:pPr>
      <w:r w:rsidRPr="00486FBA">
        <w:rPr>
          <w:spacing w:val="-6"/>
          <w:sz w:val="22"/>
          <w:szCs w:val="22"/>
          <w:lang w:val="en-US"/>
        </w:rPr>
        <w:t xml:space="preserve">7. </w:t>
      </w:r>
      <w:proofErr w:type="spellStart"/>
      <w:r w:rsidRPr="00486FBA">
        <w:rPr>
          <w:i/>
          <w:sz w:val="22"/>
          <w:szCs w:val="22"/>
          <w:lang w:val="en-US"/>
        </w:rPr>
        <w:t>Greisukh</w:t>
      </w:r>
      <w:proofErr w:type="spellEnd"/>
      <w:r w:rsidRPr="00486FBA">
        <w:rPr>
          <w:i/>
          <w:sz w:val="22"/>
          <w:szCs w:val="22"/>
          <w:lang w:val="en-US"/>
        </w:rPr>
        <w:t>, G.I.</w:t>
      </w:r>
      <w:r w:rsidRPr="00486FBA">
        <w:rPr>
          <w:b/>
          <w:sz w:val="22"/>
          <w:szCs w:val="22"/>
          <w:lang w:val="en-US"/>
        </w:rPr>
        <w:t xml:space="preserve"> </w:t>
      </w:r>
      <w:r w:rsidRPr="00486FBA">
        <w:rPr>
          <w:sz w:val="22"/>
          <w:szCs w:val="22"/>
          <w:lang w:val="en-US"/>
        </w:rPr>
        <w:t xml:space="preserve">Comparison of electromagnetic and scalar methods for evaluation of efficiency of diffractive lenses for wide spectral bandwidth / G.I. </w:t>
      </w:r>
      <w:proofErr w:type="spellStart"/>
      <w:r w:rsidRPr="00486FBA">
        <w:rPr>
          <w:sz w:val="22"/>
          <w:szCs w:val="22"/>
          <w:lang w:val="en-US"/>
        </w:rPr>
        <w:t>Greisukh</w:t>
      </w:r>
      <w:proofErr w:type="spellEnd"/>
      <w:r w:rsidRPr="00486FBA">
        <w:rPr>
          <w:sz w:val="22"/>
          <w:szCs w:val="22"/>
          <w:lang w:val="en-US"/>
        </w:rPr>
        <w:t xml:space="preserve">, V.A. Danilov, E.G. </w:t>
      </w:r>
      <w:proofErr w:type="spellStart"/>
      <w:r w:rsidRPr="00486FBA">
        <w:rPr>
          <w:sz w:val="22"/>
          <w:szCs w:val="22"/>
          <w:lang w:val="en-US"/>
        </w:rPr>
        <w:t>Ezhov</w:t>
      </w:r>
      <w:proofErr w:type="spellEnd"/>
      <w:r w:rsidRPr="00486FBA">
        <w:rPr>
          <w:sz w:val="22"/>
          <w:szCs w:val="22"/>
          <w:lang w:val="en-US"/>
        </w:rPr>
        <w:t xml:space="preserve">, I.A. Levin, S.A. </w:t>
      </w:r>
      <w:proofErr w:type="spellStart"/>
      <w:r w:rsidRPr="00486FBA">
        <w:rPr>
          <w:sz w:val="22"/>
          <w:szCs w:val="22"/>
          <w:lang w:val="en-US"/>
        </w:rPr>
        <w:t>Stepanov</w:t>
      </w:r>
      <w:proofErr w:type="spellEnd"/>
      <w:r w:rsidRPr="00486FBA">
        <w:rPr>
          <w:sz w:val="22"/>
          <w:szCs w:val="22"/>
          <w:lang w:val="en-US"/>
        </w:rPr>
        <w:t xml:space="preserve">, B.A. </w:t>
      </w:r>
      <w:proofErr w:type="spellStart"/>
      <w:r w:rsidRPr="00486FBA">
        <w:rPr>
          <w:sz w:val="22"/>
          <w:szCs w:val="22"/>
          <w:lang w:val="en-US"/>
        </w:rPr>
        <w:t>Usievich</w:t>
      </w:r>
      <w:proofErr w:type="spellEnd"/>
      <w:r w:rsidRPr="00486FBA">
        <w:rPr>
          <w:sz w:val="22"/>
          <w:szCs w:val="22"/>
          <w:lang w:val="en-US"/>
        </w:rPr>
        <w:t xml:space="preserve"> / Optics Communication. – 2015. – Vol.338. – P.54-57.</w:t>
      </w:r>
    </w:p>
    <w:p w:rsidR="00643344" w:rsidRPr="00486FBA" w:rsidRDefault="00643344" w:rsidP="00643344">
      <w:pPr>
        <w:pStyle w:val="a"/>
        <w:numPr>
          <w:ilvl w:val="0"/>
          <w:numId w:val="0"/>
        </w:numPr>
        <w:tabs>
          <w:tab w:val="left" w:pos="851"/>
        </w:tabs>
        <w:autoSpaceDE w:val="0"/>
        <w:autoSpaceDN w:val="0"/>
        <w:adjustRightInd w:val="0"/>
        <w:rPr>
          <w:sz w:val="22"/>
          <w:szCs w:val="22"/>
          <w:lang w:val="en-US"/>
        </w:rPr>
      </w:pPr>
      <w:proofErr w:type="gramStart"/>
      <w:r w:rsidRPr="00486FBA">
        <w:rPr>
          <w:spacing w:val="-6"/>
          <w:sz w:val="22"/>
          <w:szCs w:val="22"/>
          <w:lang w:val="en-US"/>
        </w:rPr>
        <w:t xml:space="preserve">8. </w:t>
      </w:r>
      <w:proofErr w:type="spellStart"/>
      <w:r w:rsidRPr="00486FBA">
        <w:rPr>
          <w:i/>
          <w:sz w:val="22"/>
          <w:szCs w:val="22"/>
          <w:lang w:val="en-US"/>
        </w:rPr>
        <w:t>Moharam</w:t>
      </w:r>
      <w:proofErr w:type="spellEnd"/>
      <w:r w:rsidRPr="00486FBA">
        <w:rPr>
          <w:i/>
          <w:sz w:val="22"/>
          <w:szCs w:val="22"/>
          <w:lang w:val="en-US"/>
        </w:rPr>
        <w:t xml:space="preserve"> </w:t>
      </w:r>
      <w:proofErr w:type="spellStart"/>
      <w:r w:rsidRPr="00486FBA">
        <w:rPr>
          <w:i/>
          <w:sz w:val="22"/>
          <w:szCs w:val="22"/>
          <w:lang w:val="en-US"/>
        </w:rPr>
        <w:t>M.G.</w:t>
      </w:r>
      <w:r w:rsidRPr="00486FBA">
        <w:rPr>
          <w:bCs/>
          <w:sz w:val="22"/>
          <w:szCs w:val="22"/>
          <w:lang w:val="en-US"/>
        </w:rPr>
        <w:t>Diffraction</w:t>
      </w:r>
      <w:proofErr w:type="spellEnd"/>
      <w:r w:rsidRPr="00486FBA">
        <w:rPr>
          <w:bCs/>
          <w:sz w:val="22"/>
          <w:szCs w:val="22"/>
          <w:lang w:val="en-US"/>
        </w:rPr>
        <w:t xml:space="preserve"> analysis of dielectric surface-relief gratings</w:t>
      </w:r>
      <w:r w:rsidRPr="00486FBA">
        <w:rPr>
          <w:spacing w:val="-6"/>
          <w:sz w:val="22"/>
          <w:szCs w:val="22"/>
          <w:lang w:val="en-US"/>
        </w:rPr>
        <w:t xml:space="preserve"> / </w:t>
      </w:r>
      <w:r w:rsidRPr="00486FBA">
        <w:rPr>
          <w:sz w:val="22"/>
          <w:szCs w:val="22"/>
          <w:lang w:val="en-US"/>
        </w:rPr>
        <w:t xml:space="preserve">M.G. </w:t>
      </w:r>
      <w:proofErr w:type="spellStart"/>
      <w:r w:rsidRPr="00486FBA">
        <w:rPr>
          <w:sz w:val="22"/>
          <w:szCs w:val="22"/>
          <w:lang w:val="en-US"/>
        </w:rPr>
        <w:t>Moharam</w:t>
      </w:r>
      <w:proofErr w:type="spellEnd"/>
      <w:r w:rsidRPr="00486FBA">
        <w:rPr>
          <w:sz w:val="22"/>
          <w:szCs w:val="22"/>
          <w:lang w:val="en-US"/>
        </w:rPr>
        <w:t>, T.K. Gaylord / J. Opt. Soc. Am. 1982.</w:t>
      </w:r>
      <w:proofErr w:type="gramEnd"/>
      <w:r w:rsidRPr="00486FBA">
        <w:rPr>
          <w:sz w:val="22"/>
          <w:szCs w:val="22"/>
          <w:lang w:val="en-US"/>
        </w:rPr>
        <w:t xml:space="preserve"> V. 72. </w:t>
      </w:r>
      <w:r w:rsidRPr="00486FBA">
        <w:rPr>
          <w:spacing w:val="-6"/>
          <w:sz w:val="22"/>
          <w:szCs w:val="22"/>
          <w:lang w:val="en-US"/>
        </w:rPr>
        <w:t>– N</w:t>
      </w:r>
      <w:r w:rsidRPr="00486FBA">
        <w:rPr>
          <w:sz w:val="22"/>
          <w:szCs w:val="22"/>
          <w:lang w:val="en-US"/>
        </w:rPr>
        <w:t>10.</w:t>
      </w:r>
      <w:r w:rsidRPr="00486FBA">
        <w:rPr>
          <w:spacing w:val="-6"/>
          <w:sz w:val="22"/>
          <w:szCs w:val="22"/>
          <w:lang w:val="en-US"/>
        </w:rPr>
        <w:t xml:space="preserve"> – </w:t>
      </w:r>
      <w:r w:rsidRPr="00486FBA">
        <w:rPr>
          <w:sz w:val="22"/>
          <w:szCs w:val="22"/>
          <w:lang w:val="en-US"/>
        </w:rPr>
        <w:t>P. 1385.</w:t>
      </w:r>
    </w:p>
    <w:p w:rsidR="00643344" w:rsidRPr="00486FBA" w:rsidRDefault="00643344" w:rsidP="00643344">
      <w:pPr>
        <w:pStyle w:val="a"/>
        <w:numPr>
          <w:ilvl w:val="0"/>
          <w:numId w:val="0"/>
        </w:numPr>
        <w:tabs>
          <w:tab w:val="left" w:pos="851"/>
        </w:tabs>
        <w:autoSpaceDE w:val="0"/>
        <w:autoSpaceDN w:val="0"/>
        <w:adjustRightInd w:val="0"/>
        <w:rPr>
          <w:color w:val="000000"/>
          <w:sz w:val="22"/>
          <w:szCs w:val="22"/>
          <w:lang w:val="en-US"/>
        </w:rPr>
      </w:pPr>
      <w:r w:rsidRPr="00486FBA">
        <w:rPr>
          <w:spacing w:val="-6"/>
          <w:sz w:val="22"/>
          <w:szCs w:val="22"/>
          <w:lang w:val="en-US"/>
        </w:rPr>
        <w:t xml:space="preserve">9. </w:t>
      </w:r>
      <w:proofErr w:type="spellStart"/>
      <w:r w:rsidRPr="00486FBA">
        <w:rPr>
          <w:sz w:val="22"/>
          <w:szCs w:val="22"/>
          <w:lang w:val="en-US"/>
        </w:rPr>
        <w:t>Lyndin</w:t>
      </w:r>
      <w:proofErr w:type="spellEnd"/>
      <w:r w:rsidRPr="00486FBA">
        <w:rPr>
          <w:sz w:val="22"/>
          <w:szCs w:val="22"/>
          <w:lang w:val="en-US"/>
        </w:rPr>
        <w:t xml:space="preserve"> N.M. Modal and C Methods Grating Design and Analysis Software / http://www.mcgrating.com</w:t>
      </w:r>
    </w:p>
    <w:p w:rsidR="00643344" w:rsidRPr="00486FBA" w:rsidRDefault="00643344" w:rsidP="00643344">
      <w:pPr>
        <w:pStyle w:val="a"/>
        <w:numPr>
          <w:ilvl w:val="0"/>
          <w:numId w:val="0"/>
        </w:numPr>
        <w:shd w:val="clear" w:color="auto" w:fill="FFFFFF"/>
        <w:tabs>
          <w:tab w:val="left" w:pos="426"/>
        </w:tabs>
        <w:rPr>
          <w:sz w:val="22"/>
          <w:szCs w:val="22"/>
        </w:rPr>
      </w:pPr>
      <w:r w:rsidRPr="00486FBA">
        <w:rPr>
          <w:spacing w:val="-6"/>
          <w:sz w:val="22"/>
          <w:szCs w:val="22"/>
        </w:rPr>
        <w:t xml:space="preserve">10. </w:t>
      </w:r>
      <w:proofErr w:type="spellStart"/>
      <w:r w:rsidRPr="00486FBA">
        <w:rPr>
          <w:i/>
          <w:sz w:val="22"/>
          <w:szCs w:val="22"/>
        </w:rPr>
        <w:t>Грейсух</w:t>
      </w:r>
      <w:proofErr w:type="spellEnd"/>
      <w:r w:rsidRPr="00486FBA">
        <w:rPr>
          <w:i/>
          <w:sz w:val="22"/>
          <w:szCs w:val="22"/>
        </w:rPr>
        <w:t xml:space="preserve">, Г.И. </w:t>
      </w:r>
      <w:r w:rsidRPr="00486FBA">
        <w:rPr>
          <w:sz w:val="22"/>
          <w:szCs w:val="22"/>
        </w:rPr>
        <w:t xml:space="preserve">Спектральная и угловая зависимости эффективности дифракционных линз с </w:t>
      </w:r>
      <w:proofErr w:type="spellStart"/>
      <w:r w:rsidRPr="00486FBA">
        <w:rPr>
          <w:sz w:val="22"/>
          <w:szCs w:val="22"/>
        </w:rPr>
        <w:t>двухрельефной</w:t>
      </w:r>
      <w:proofErr w:type="spellEnd"/>
      <w:r w:rsidRPr="00486FBA">
        <w:rPr>
          <w:sz w:val="22"/>
          <w:szCs w:val="22"/>
        </w:rPr>
        <w:t xml:space="preserve"> и двухслойной микроструктурой [Текст] / Г.И.</w:t>
      </w:r>
      <w:r w:rsidRPr="00486FBA">
        <w:rPr>
          <w:sz w:val="22"/>
          <w:szCs w:val="22"/>
          <w:lang w:val="en-US"/>
        </w:rPr>
        <w:t> </w:t>
      </w:r>
      <w:proofErr w:type="spellStart"/>
      <w:r w:rsidRPr="00486FBA">
        <w:rPr>
          <w:sz w:val="22"/>
          <w:szCs w:val="22"/>
        </w:rPr>
        <w:t>Грейсух</w:t>
      </w:r>
      <w:proofErr w:type="spellEnd"/>
      <w:r w:rsidRPr="00486FBA">
        <w:rPr>
          <w:sz w:val="22"/>
          <w:szCs w:val="22"/>
        </w:rPr>
        <w:t xml:space="preserve">, </w:t>
      </w:r>
      <w:r w:rsidRPr="00486FBA">
        <w:rPr>
          <w:iCs/>
          <w:sz w:val="22"/>
          <w:szCs w:val="22"/>
        </w:rPr>
        <w:t xml:space="preserve">В.А. Данилов, </w:t>
      </w:r>
      <w:r w:rsidRPr="00486FBA">
        <w:rPr>
          <w:sz w:val="22"/>
          <w:szCs w:val="22"/>
        </w:rPr>
        <w:t xml:space="preserve">Е.Г. Ежов, С.А. Степанов </w:t>
      </w:r>
      <w:r w:rsidRPr="00486FBA">
        <w:rPr>
          <w:iCs/>
          <w:sz w:val="22"/>
          <w:szCs w:val="22"/>
        </w:rPr>
        <w:t xml:space="preserve">Б.А. Усиевич </w:t>
      </w:r>
      <w:r w:rsidRPr="00486FBA">
        <w:rPr>
          <w:sz w:val="22"/>
          <w:szCs w:val="22"/>
        </w:rPr>
        <w:t xml:space="preserve">/ Оптический журнал. — 2015. — Т.82 </w:t>
      </w:r>
      <w:r w:rsidRPr="00486FBA">
        <w:rPr>
          <w:spacing w:val="-6"/>
          <w:sz w:val="22"/>
          <w:szCs w:val="22"/>
        </w:rPr>
        <w:t>–</w:t>
      </w:r>
      <w:r w:rsidRPr="00486FBA">
        <w:rPr>
          <w:sz w:val="22"/>
          <w:szCs w:val="22"/>
        </w:rPr>
        <w:t xml:space="preserve"> №5.</w:t>
      </w:r>
      <w:r w:rsidRPr="00486FBA">
        <w:rPr>
          <w:spacing w:val="-6"/>
          <w:sz w:val="22"/>
          <w:szCs w:val="22"/>
        </w:rPr>
        <w:t xml:space="preserve"> – </w:t>
      </w:r>
      <w:r w:rsidRPr="00486FBA">
        <w:rPr>
          <w:sz w:val="22"/>
          <w:szCs w:val="22"/>
        </w:rPr>
        <w:t>C.56–61.</w:t>
      </w:r>
    </w:p>
    <w:p w:rsidR="00643344" w:rsidRPr="00486FBA" w:rsidRDefault="00643344" w:rsidP="00643344">
      <w:pPr>
        <w:pStyle w:val="a"/>
        <w:numPr>
          <w:ilvl w:val="0"/>
          <w:numId w:val="0"/>
        </w:numPr>
        <w:shd w:val="clear" w:color="auto" w:fill="FFFFFF"/>
        <w:tabs>
          <w:tab w:val="left" w:pos="426"/>
        </w:tabs>
        <w:rPr>
          <w:sz w:val="22"/>
          <w:szCs w:val="22"/>
        </w:rPr>
      </w:pPr>
      <w:r w:rsidRPr="00486FBA">
        <w:rPr>
          <w:spacing w:val="-6"/>
          <w:sz w:val="22"/>
          <w:szCs w:val="22"/>
        </w:rPr>
        <w:t xml:space="preserve">11. </w:t>
      </w:r>
      <w:proofErr w:type="spellStart"/>
      <w:r w:rsidRPr="00486FBA">
        <w:rPr>
          <w:i/>
          <w:sz w:val="22"/>
          <w:szCs w:val="22"/>
        </w:rPr>
        <w:t>Грейсух</w:t>
      </w:r>
      <w:proofErr w:type="spellEnd"/>
      <w:r w:rsidRPr="00486FBA">
        <w:rPr>
          <w:i/>
          <w:sz w:val="22"/>
          <w:szCs w:val="22"/>
        </w:rPr>
        <w:t>, Г.И.</w:t>
      </w:r>
      <w:r w:rsidRPr="00486FBA">
        <w:rPr>
          <w:b/>
          <w:sz w:val="22"/>
          <w:szCs w:val="22"/>
        </w:rPr>
        <w:t xml:space="preserve"> </w:t>
      </w:r>
      <w:r w:rsidRPr="00486FBA">
        <w:rPr>
          <w:sz w:val="22"/>
          <w:szCs w:val="22"/>
        </w:rPr>
        <w:t>Спектральная и угловая зависимости эффективности рельефно-фазовых дифракционных линз с двух- и трёхслойной микроструктурами [Текст] / Г.И.</w:t>
      </w:r>
      <w:r w:rsidRPr="00486FBA">
        <w:rPr>
          <w:sz w:val="22"/>
          <w:szCs w:val="22"/>
          <w:lang w:val="en-US"/>
        </w:rPr>
        <w:t> </w:t>
      </w:r>
      <w:proofErr w:type="spellStart"/>
      <w:r w:rsidRPr="00486FBA">
        <w:rPr>
          <w:sz w:val="22"/>
          <w:szCs w:val="22"/>
        </w:rPr>
        <w:t>Грейсух</w:t>
      </w:r>
      <w:proofErr w:type="spellEnd"/>
      <w:r w:rsidRPr="00486FBA">
        <w:rPr>
          <w:sz w:val="22"/>
          <w:szCs w:val="22"/>
        </w:rPr>
        <w:t xml:space="preserve">, </w:t>
      </w:r>
      <w:r w:rsidRPr="00486FBA">
        <w:rPr>
          <w:iCs/>
          <w:sz w:val="22"/>
          <w:szCs w:val="22"/>
        </w:rPr>
        <w:t xml:space="preserve">В.А. Данилов, </w:t>
      </w:r>
      <w:r w:rsidRPr="00486FBA">
        <w:rPr>
          <w:sz w:val="22"/>
          <w:szCs w:val="22"/>
        </w:rPr>
        <w:t xml:space="preserve">Е.Г. Ежов, С.А. Степанов, </w:t>
      </w:r>
      <w:r w:rsidRPr="00486FBA">
        <w:rPr>
          <w:iCs/>
          <w:sz w:val="22"/>
          <w:szCs w:val="22"/>
        </w:rPr>
        <w:t xml:space="preserve">Б.А. Усиевич </w:t>
      </w:r>
      <w:r w:rsidRPr="00486FBA">
        <w:rPr>
          <w:sz w:val="22"/>
          <w:szCs w:val="22"/>
        </w:rPr>
        <w:t>/ Оптика спектроскопия. - 2015. - Т.118.</w:t>
      </w:r>
      <w:r w:rsidRPr="00486FBA">
        <w:rPr>
          <w:spacing w:val="-6"/>
          <w:sz w:val="22"/>
          <w:szCs w:val="22"/>
        </w:rPr>
        <w:t xml:space="preserve"> – </w:t>
      </w:r>
      <w:r w:rsidRPr="00486FBA">
        <w:rPr>
          <w:sz w:val="22"/>
          <w:szCs w:val="22"/>
        </w:rPr>
        <w:t>№6. — C.118–125.</w:t>
      </w:r>
    </w:p>
    <w:p w:rsidR="00643344" w:rsidRPr="00486FBA" w:rsidRDefault="00643344" w:rsidP="00643344">
      <w:pPr>
        <w:pStyle w:val="a"/>
        <w:numPr>
          <w:ilvl w:val="0"/>
          <w:numId w:val="0"/>
        </w:numPr>
        <w:shd w:val="clear" w:color="auto" w:fill="FFFFFF"/>
        <w:tabs>
          <w:tab w:val="left" w:pos="426"/>
        </w:tabs>
        <w:rPr>
          <w:sz w:val="22"/>
          <w:szCs w:val="22"/>
        </w:rPr>
      </w:pPr>
      <w:r w:rsidRPr="00486FBA">
        <w:rPr>
          <w:spacing w:val="-6"/>
          <w:sz w:val="22"/>
          <w:szCs w:val="22"/>
        </w:rPr>
        <w:t xml:space="preserve">12. </w:t>
      </w:r>
      <w:proofErr w:type="spellStart"/>
      <w:r w:rsidRPr="00486FBA">
        <w:rPr>
          <w:i/>
          <w:sz w:val="22"/>
          <w:szCs w:val="22"/>
        </w:rPr>
        <w:t>Чуриловский</w:t>
      </w:r>
      <w:proofErr w:type="spellEnd"/>
      <w:r w:rsidRPr="00486FBA">
        <w:rPr>
          <w:i/>
          <w:sz w:val="22"/>
          <w:szCs w:val="22"/>
        </w:rPr>
        <w:t>, В.И.</w:t>
      </w:r>
      <w:r w:rsidRPr="00486FBA">
        <w:rPr>
          <w:sz w:val="22"/>
          <w:szCs w:val="22"/>
        </w:rPr>
        <w:t xml:space="preserve"> Теория хроматизма и аберраций третьего порядка. — Л.: Машиностроение, 1968. — 311 с. </w:t>
      </w:r>
    </w:p>
    <w:p w:rsidR="00643344" w:rsidRPr="00486FBA" w:rsidRDefault="00643344" w:rsidP="00643344">
      <w:pPr>
        <w:pStyle w:val="a"/>
        <w:numPr>
          <w:ilvl w:val="0"/>
          <w:numId w:val="0"/>
        </w:numPr>
        <w:rPr>
          <w:sz w:val="22"/>
          <w:szCs w:val="22"/>
        </w:rPr>
      </w:pPr>
      <w:r w:rsidRPr="00486FBA">
        <w:rPr>
          <w:spacing w:val="-6"/>
          <w:sz w:val="22"/>
          <w:szCs w:val="22"/>
        </w:rPr>
        <w:t>13.</w:t>
      </w:r>
      <w:r w:rsidRPr="00486FBA">
        <w:rPr>
          <w:i/>
          <w:spacing w:val="-6"/>
          <w:sz w:val="22"/>
          <w:szCs w:val="22"/>
        </w:rPr>
        <w:t xml:space="preserve"> </w:t>
      </w:r>
      <w:proofErr w:type="spellStart"/>
      <w:r w:rsidRPr="00486FBA">
        <w:rPr>
          <w:i/>
          <w:sz w:val="22"/>
          <w:szCs w:val="22"/>
        </w:rPr>
        <w:t>Грейсух</w:t>
      </w:r>
      <w:proofErr w:type="spellEnd"/>
      <w:r w:rsidRPr="00486FBA">
        <w:rPr>
          <w:i/>
          <w:sz w:val="22"/>
          <w:szCs w:val="22"/>
        </w:rPr>
        <w:t>, Г.И.</w:t>
      </w:r>
      <w:r w:rsidRPr="00486FBA">
        <w:rPr>
          <w:sz w:val="22"/>
          <w:szCs w:val="22"/>
        </w:rPr>
        <w:t xml:space="preserve"> Сравнительный анализ хроматизма дифракционных и рефракционных линз / Г.И. </w:t>
      </w:r>
      <w:proofErr w:type="spellStart"/>
      <w:r w:rsidRPr="00486FBA">
        <w:rPr>
          <w:sz w:val="22"/>
          <w:szCs w:val="22"/>
        </w:rPr>
        <w:t>Грейсух</w:t>
      </w:r>
      <w:proofErr w:type="spellEnd"/>
      <w:r w:rsidRPr="00486FBA">
        <w:rPr>
          <w:sz w:val="22"/>
          <w:szCs w:val="22"/>
        </w:rPr>
        <w:t xml:space="preserve">, Е.Г. Ежов, С.А. Степанов / Компьютерная оптика. - М.: ИСОИ РАН, МЦНТИ, 2005. – </w:t>
      </w:r>
      <w:proofErr w:type="spellStart"/>
      <w:r w:rsidRPr="00486FBA">
        <w:rPr>
          <w:sz w:val="22"/>
          <w:szCs w:val="22"/>
        </w:rPr>
        <w:t>Вып</w:t>
      </w:r>
      <w:proofErr w:type="spellEnd"/>
      <w:r w:rsidRPr="00486FBA">
        <w:rPr>
          <w:sz w:val="22"/>
          <w:szCs w:val="22"/>
        </w:rPr>
        <w:t xml:space="preserve">. 28. - С. 60-65. </w:t>
      </w:r>
    </w:p>
    <w:p w:rsidR="00643344" w:rsidRPr="00486FBA" w:rsidRDefault="00643344" w:rsidP="00643344">
      <w:pPr>
        <w:pStyle w:val="a"/>
        <w:numPr>
          <w:ilvl w:val="0"/>
          <w:numId w:val="0"/>
        </w:numPr>
        <w:shd w:val="clear" w:color="auto" w:fill="FFFFFF"/>
        <w:tabs>
          <w:tab w:val="left" w:pos="426"/>
        </w:tabs>
        <w:rPr>
          <w:sz w:val="22"/>
          <w:szCs w:val="22"/>
          <w:lang w:val="en-US"/>
        </w:rPr>
      </w:pPr>
      <w:r w:rsidRPr="00486FBA">
        <w:rPr>
          <w:spacing w:val="-6"/>
          <w:sz w:val="22"/>
          <w:szCs w:val="22"/>
          <w:lang w:val="en-US"/>
        </w:rPr>
        <w:t xml:space="preserve">14. </w:t>
      </w:r>
      <w:proofErr w:type="spellStart"/>
      <w:r w:rsidRPr="00486FBA">
        <w:rPr>
          <w:i/>
          <w:sz w:val="22"/>
          <w:szCs w:val="22"/>
          <w:lang w:val="en-US"/>
        </w:rPr>
        <w:t>Greisukh</w:t>
      </w:r>
      <w:proofErr w:type="spellEnd"/>
      <w:r w:rsidRPr="00486FBA">
        <w:rPr>
          <w:i/>
          <w:sz w:val="22"/>
          <w:szCs w:val="22"/>
          <w:lang w:val="en-US"/>
        </w:rPr>
        <w:t>, G.I.</w:t>
      </w:r>
      <w:r w:rsidRPr="00486FBA">
        <w:rPr>
          <w:sz w:val="22"/>
          <w:szCs w:val="22"/>
          <w:lang w:val="en-US"/>
        </w:rPr>
        <w:t xml:space="preserve"> / </w:t>
      </w:r>
      <w:r w:rsidRPr="00486FBA">
        <w:rPr>
          <w:color w:val="000000"/>
          <w:spacing w:val="-9"/>
          <w:sz w:val="22"/>
          <w:szCs w:val="22"/>
          <w:lang w:val="en-US"/>
        </w:rPr>
        <w:t xml:space="preserve">Diffractive-Refractive Hybrid Corrector for </w:t>
      </w:r>
      <w:proofErr w:type="spellStart"/>
      <w:r w:rsidRPr="00486FBA">
        <w:rPr>
          <w:color w:val="000000"/>
          <w:spacing w:val="-9"/>
          <w:sz w:val="22"/>
          <w:szCs w:val="22"/>
          <w:lang w:val="en-US"/>
        </w:rPr>
        <w:t>Achro</w:t>
      </w:r>
      <w:proofErr w:type="spellEnd"/>
      <w:r w:rsidRPr="00486FBA">
        <w:rPr>
          <w:color w:val="000000"/>
          <w:spacing w:val="-9"/>
          <w:sz w:val="22"/>
          <w:szCs w:val="22"/>
          <w:lang w:val="en-US"/>
        </w:rPr>
        <w:t xml:space="preserve">- and Apochromatic Corrections of Optical Systems / </w:t>
      </w:r>
      <w:r w:rsidRPr="00486FBA">
        <w:rPr>
          <w:sz w:val="22"/>
          <w:szCs w:val="22"/>
          <w:lang w:val="en-US"/>
        </w:rPr>
        <w:t xml:space="preserve">G.I. </w:t>
      </w:r>
      <w:proofErr w:type="spellStart"/>
      <w:r w:rsidRPr="00486FBA">
        <w:rPr>
          <w:sz w:val="22"/>
          <w:szCs w:val="22"/>
          <w:lang w:val="en-US"/>
        </w:rPr>
        <w:t>Greisukh</w:t>
      </w:r>
      <w:proofErr w:type="spellEnd"/>
      <w:r w:rsidRPr="00486FBA">
        <w:rPr>
          <w:sz w:val="22"/>
          <w:szCs w:val="22"/>
          <w:lang w:val="en-US"/>
        </w:rPr>
        <w:t xml:space="preserve">, E.G. </w:t>
      </w:r>
      <w:proofErr w:type="spellStart"/>
      <w:r w:rsidRPr="00486FBA">
        <w:rPr>
          <w:sz w:val="22"/>
          <w:szCs w:val="22"/>
          <w:lang w:val="en-US"/>
        </w:rPr>
        <w:t>Ezhov</w:t>
      </w:r>
      <w:proofErr w:type="spellEnd"/>
      <w:r w:rsidRPr="00486FBA">
        <w:rPr>
          <w:sz w:val="22"/>
          <w:szCs w:val="22"/>
          <w:lang w:val="en-US"/>
        </w:rPr>
        <w:t xml:space="preserve">, S.A. </w:t>
      </w:r>
      <w:proofErr w:type="spellStart"/>
      <w:r w:rsidRPr="00486FBA">
        <w:rPr>
          <w:sz w:val="22"/>
          <w:szCs w:val="22"/>
          <w:lang w:val="en-US"/>
        </w:rPr>
        <w:t>Stepanov</w:t>
      </w:r>
      <w:proofErr w:type="spellEnd"/>
      <w:r w:rsidRPr="00486FBA">
        <w:rPr>
          <w:sz w:val="22"/>
          <w:szCs w:val="22"/>
          <w:lang w:val="en-US"/>
        </w:rPr>
        <w:t xml:space="preserve"> / Applied Optics. – 2006. – Vol. 45. </w:t>
      </w:r>
      <w:r w:rsidRPr="00486FBA">
        <w:rPr>
          <w:spacing w:val="-6"/>
          <w:sz w:val="22"/>
          <w:szCs w:val="22"/>
          <w:lang w:val="en-US"/>
        </w:rPr>
        <w:t xml:space="preserve">– </w:t>
      </w:r>
      <w:r w:rsidRPr="00486FBA">
        <w:rPr>
          <w:sz w:val="22"/>
          <w:szCs w:val="22"/>
          <w:lang w:val="en-US"/>
        </w:rPr>
        <w:t>N24. – P. 6137–6141.</w:t>
      </w:r>
    </w:p>
    <w:p w:rsidR="00E63541" w:rsidRPr="00643344" w:rsidRDefault="00E63541" w:rsidP="00643344">
      <w:pPr>
        <w:rPr>
          <w:lang w:val="en-US"/>
        </w:rPr>
      </w:pPr>
      <w:bookmarkStart w:id="0" w:name="_GoBack"/>
      <w:bookmarkEnd w:id="0"/>
    </w:p>
    <w:sectPr w:rsidR="00E63541" w:rsidRPr="00643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Petersburg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E36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454F5"/>
    <w:multiLevelType w:val="hybridMultilevel"/>
    <w:tmpl w:val="F532FECC"/>
    <w:lvl w:ilvl="0" w:tplc="02605DFC">
      <w:start w:val="1"/>
      <w:numFmt w:val="decimal"/>
      <w:pStyle w:val="a"/>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170EDA"/>
    <w:multiLevelType w:val="hybridMultilevel"/>
    <w:tmpl w:val="02C81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17"/>
    <w:rsid w:val="000B1917"/>
    <w:rsid w:val="00274B52"/>
    <w:rsid w:val="00643344"/>
    <w:rsid w:val="008360C3"/>
    <w:rsid w:val="009F5F63"/>
    <w:rsid w:val="00A07A00"/>
    <w:rsid w:val="00BA0E39"/>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34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BA0E39"/>
    <w:rPr>
      <w:color w:val="0000FF" w:themeColor="hyperlink"/>
      <w:u w:val="single"/>
    </w:rPr>
  </w:style>
  <w:style w:type="paragraph" w:customStyle="1" w:styleId="a6">
    <w:name w:val="[Основной абзац]"/>
    <w:basedOn w:val="a0"/>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7">
    <w:name w:val="List Paragraph"/>
    <w:basedOn w:val="a0"/>
    <w:uiPriority w:val="34"/>
    <w:qFormat/>
    <w:rsid w:val="008360C3"/>
    <w:pPr>
      <w:ind w:left="720"/>
      <w:contextualSpacing/>
    </w:pPr>
  </w:style>
  <w:style w:type="paragraph" w:styleId="a8">
    <w:name w:val="Body Text"/>
    <w:basedOn w:val="a0"/>
    <w:link w:val="a9"/>
    <w:rsid w:val="009F5F63"/>
    <w:pPr>
      <w:suppressAutoHyphens/>
      <w:spacing w:after="0" w:line="360" w:lineRule="auto"/>
      <w:jc w:val="both"/>
    </w:pPr>
    <w:rPr>
      <w:rFonts w:ascii="Arial" w:eastAsia="Times New Roman" w:hAnsi="Arial" w:cs="Arial"/>
      <w:sz w:val="20"/>
      <w:szCs w:val="20"/>
      <w:lang w:eastAsia="ar-SA"/>
    </w:rPr>
  </w:style>
  <w:style w:type="character" w:customStyle="1" w:styleId="a9">
    <w:name w:val="Основной текст Знак"/>
    <w:basedOn w:val="a1"/>
    <w:link w:val="a8"/>
    <w:rsid w:val="009F5F63"/>
    <w:rPr>
      <w:rFonts w:ascii="Arial" w:eastAsia="Times New Roman" w:hAnsi="Arial" w:cs="Arial"/>
      <w:sz w:val="20"/>
      <w:szCs w:val="20"/>
      <w:lang w:eastAsia="ar-SA"/>
    </w:rPr>
  </w:style>
  <w:style w:type="paragraph" w:customStyle="1" w:styleId="aa">
    <w:name w:val="Аннотация"/>
    <w:basedOn w:val="a0"/>
    <w:next w:val="a0"/>
    <w:uiPriority w:val="3"/>
    <w:qFormat/>
    <w:rsid w:val="00643344"/>
    <w:pPr>
      <w:suppressAutoHyphens/>
      <w:spacing w:after="0" w:line="264" w:lineRule="auto"/>
      <w:jc w:val="both"/>
    </w:pPr>
    <w:rPr>
      <w:rFonts w:eastAsiaTheme="minorEastAsia"/>
      <w:kern w:val="16"/>
      <w:lang w:eastAsia="ru-RU"/>
    </w:rPr>
  </w:style>
  <w:style w:type="paragraph" w:customStyle="1" w:styleId="Default">
    <w:name w:val="Default"/>
    <w:rsid w:val="00643344"/>
    <w:pPr>
      <w:autoSpaceDE w:val="0"/>
      <w:autoSpaceDN w:val="0"/>
      <w:adjustRightInd w:val="0"/>
      <w:spacing w:after="0" w:line="240" w:lineRule="auto"/>
    </w:pPr>
    <w:rPr>
      <w:rFonts w:ascii="PetersburgC" w:eastAsia="Times New Roman" w:hAnsi="PetersburgC" w:cs="PetersburgC"/>
      <w:color w:val="000000"/>
      <w:sz w:val="24"/>
      <w:szCs w:val="24"/>
      <w:lang w:eastAsia="ru-RU"/>
    </w:rPr>
  </w:style>
  <w:style w:type="paragraph" w:customStyle="1" w:styleId="ab">
    <w:name w:val="Ключевые слова"/>
    <w:basedOn w:val="a0"/>
    <w:next w:val="a0"/>
    <w:uiPriority w:val="4"/>
    <w:qFormat/>
    <w:rsid w:val="00643344"/>
    <w:pPr>
      <w:suppressAutoHyphens/>
      <w:spacing w:after="320" w:line="264" w:lineRule="auto"/>
      <w:ind w:firstLine="567"/>
    </w:pPr>
    <w:rPr>
      <w:rFonts w:eastAsiaTheme="minorEastAsia"/>
      <w:kern w:val="16"/>
      <w:lang w:eastAsia="ru-RU"/>
    </w:rPr>
  </w:style>
  <w:style w:type="paragraph" w:customStyle="1" w:styleId="a">
    <w:name w:val="Литература"/>
    <w:basedOn w:val="a0"/>
    <w:link w:val="ac"/>
    <w:rsid w:val="00643344"/>
    <w:pPr>
      <w:numPr>
        <w:numId w:val="3"/>
      </w:numPr>
      <w:tabs>
        <w:tab w:val="right" w:pos="4536"/>
      </w:tabs>
      <w:spacing w:after="0" w:line="240" w:lineRule="auto"/>
      <w:jc w:val="both"/>
    </w:pPr>
    <w:rPr>
      <w:rFonts w:ascii="Times New Roman" w:eastAsia="Times New Roman" w:hAnsi="Times New Roman" w:cs="Times New Roman"/>
      <w:sz w:val="18"/>
      <w:szCs w:val="20"/>
      <w:lang w:eastAsia="ru-RU"/>
    </w:rPr>
  </w:style>
  <w:style w:type="character" w:customStyle="1" w:styleId="ac">
    <w:name w:val="Литература Знак"/>
    <w:link w:val="a"/>
    <w:rsid w:val="00643344"/>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34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BA0E39"/>
    <w:rPr>
      <w:color w:val="0000FF" w:themeColor="hyperlink"/>
      <w:u w:val="single"/>
    </w:rPr>
  </w:style>
  <w:style w:type="paragraph" w:customStyle="1" w:styleId="a6">
    <w:name w:val="[Основной абзац]"/>
    <w:basedOn w:val="a0"/>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7">
    <w:name w:val="List Paragraph"/>
    <w:basedOn w:val="a0"/>
    <w:uiPriority w:val="34"/>
    <w:qFormat/>
    <w:rsid w:val="008360C3"/>
    <w:pPr>
      <w:ind w:left="720"/>
      <w:contextualSpacing/>
    </w:pPr>
  </w:style>
  <w:style w:type="paragraph" w:styleId="a8">
    <w:name w:val="Body Text"/>
    <w:basedOn w:val="a0"/>
    <w:link w:val="a9"/>
    <w:rsid w:val="009F5F63"/>
    <w:pPr>
      <w:suppressAutoHyphens/>
      <w:spacing w:after="0" w:line="360" w:lineRule="auto"/>
      <w:jc w:val="both"/>
    </w:pPr>
    <w:rPr>
      <w:rFonts w:ascii="Arial" w:eastAsia="Times New Roman" w:hAnsi="Arial" w:cs="Arial"/>
      <w:sz w:val="20"/>
      <w:szCs w:val="20"/>
      <w:lang w:eastAsia="ar-SA"/>
    </w:rPr>
  </w:style>
  <w:style w:type="character" w:customStyle="1" w:styleId="a9">
    <w:name w:val="Основной текст Знак"/>
    <w:basedOn w:val="a1"/>
    <w:link w:val="a8"/>
    <w:rsid w:val="009F5F63"/>
    <w:rPr>
      <w:rFonts w:ascii="Arial" w:eastAsia="Times New Roman" w:hAnsi="Arial" w:cs="Arial"/>
      <w:sz w:val="20"/>
      <w:szCs w:val="20"/>
      <w:lang w:eastAsia="ar-SA"/>
    </w:rPr>
  </w:style>
  <w:style w:type="paragraph" w:customStyle="1" w:styleId="aa">
    <w:name w:val="Аннотация"/>
    <w:basedOn w:val="a0"/>
    <w:next w:val="a0"/>
    <w:uiPriority w:val="3"/>
    <w:qFormat/>
    <w:rsid w:val="00643344"/>
    <w:pPr>
      <w:suppressAutoHyphens/>
      <w:spacing w:after="0" w:line="264" w:lineRule="auto"/>
      <w:jc w:val="both"/>
    </w:pPr>
    <w:rPr>
      <w:rFonts w:eastAsiaTheme="minorEastAsia"/>
      <w:kern w:val="16"/>
      <w:lang w:eastAsia="ru-RU"/>
    </w:rPr>
  </w:style>
  <w:style w:type="paragraph" w:customStyle="1" w:styleId="Default">
    <w:name w:val="Default"/>
    <w:rsid w:val="00643344"/>
    <w:pPr>
      <w:autoSpaceDE w:val="0"/>
      <w:autoSpaceDN w:val="0"/>
      <w:adjustRightInd w:val="0"/>
      <w:spacing w:after="0" w:line="240" w:lineRule="auto"/>
    </w:pPr>
    <w:rPr>
      <w:rFonts w:ascii="PetersburgC" w:eastAsia="Times New Roman" w:hAnsi="PetersburgC" w:cs="PetersburgC"/>
      <w:color w:val="000000"/>
      <w:sz w:val="24"/>
      <w:szCs w:val="24"/>
      <w:lang w:eastAsia="ru-RU"/>
    </w:rPr>
  </w:style>
  <w:style w:type="paragraph" w:customStyle="1" w:styleId="ab">
    <w:name w:val="Ключевые слова"/>
    <w:basedOn w:val="a0"/>
    <w:next w:val="a0"/>
    <w:uiPriority w:val="4"/>
    <w:qFormat/>
    <w:rsid w:val="00643344"/>
    <w:pPr>
      <w:suppressAutoHyphens/>
      <w:spacing w:after="320" w:line="264" w:lineRule="auto"/>
      <w:ind w:firstLine="567"/>
    </w:pPr>
    <w:rPr>
      <w:rFonts w:eastAsiaTheme="minorEastAsia"/>
      <w:kern w:val="16"/>
      <w:lang w:eastAsia="ru-RU"/>
    </w:rPr>
  </w:style>
  <w:style w:type="paragraph" w:customStyle="1" w:styleId="a">
    <w:name w:val="Литература"/>
    <w:basedOn w:val="a0"/>
    <w:link w:val="ac"/>
    <w:rsid w:val="00643344"/>
    <w:pPr>
      <w:numPr>
        <w:numId w:val="3"/>
      </w:numPr>
      <w:tabs>
        <w:tab w:val="right" w:pos="4536"/>
      </w:tabs>
      <w:spacing w:after="0" w:line="240" w:lineRule="auto"/>
      <w:jc w:val="both"/>
    </w:pPr>
    <w:rPr>
      <w:rFonts w:ascii="Times New Roman" w:eastAsia="Times New Roman" w:hAnsi="Times New Roman" w:cs="Times New Roman"/>
      <w:sz w:val="18"/>
      <w:szCs w:val="20"/>
      <w:lang w:eastAsia="ru-RU"/>
    </w:rPr>
  </w:style>
  <w:style w:type="character" w:customStyle="1" w:styleId="ac">
    <w:name w:val="Литература Знак"/>
    <w:link w:val="a"/>
    <w:rsid w:val="00643344"/>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iantzemax.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dcterms:created xsi:type="dcterms:W3CDTF">2019-01-19T12:34:00Z</dcterms:created>
  <dcterms:modified xsi:type="dcterms:W3CDTF">2019-04-12T18:29:00Z</dcterms:modified>
</cp:coreProperties>
</file>