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9722" w14:textId="77777777" w:rsidR="00EB0EFE" w:rsidRDefault="00EB0EFE" w:rsidP="00EB0EFE">
      <w:pPr>
        <w:spacing w:after="0" w:line="360" w:lineRule="auto"/>
        <w:jc w:val="both"/>
        <w:rPr>
          <w:rFonts w:ascii="Times New Roman" w:hAnsi="Times New Roman"/>
          <w:i/>
          <w:color w:val="0033CC"/>
          <w:sz w:val="28"/>
          <w:szCs w:val="28"/>
          <w:u w:val="single"/>
          <w:shd w:val="clear" w:color="auto" w:fill="FFFFFF"/>
        </w:rPr>
      </w:pPr>
      <w:proofErr w:type="spellStart"/>
      <w:r w:rsidRPr="00EA4011">
        <w:rPr>
          <w:rFonts w:ascii="Times New Roman" w:hAnsi="Times New Roman"/>
          <w:bCs/>
          <w:sz w:val="28"/>
          <w:szCs w:val="28"/>
        </w:rPr>
        <w:t>И.В.Газеева</w:t>
      </w:r>
      <w:proofErr w:type="spellEnd"/>
      <w:r w:rsidRPr="00EA401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4011">
        <w:rPr>
          <w:rFonts w:ascii="Times New Roman" w:hAnsi="Times New Roman"/>
          <w:bCs/>
          <w:sz w:val="28"/>
          <w:szCs w:val="28"/>
        </w:rPr>
        <w:t>С.А.Кузнецов</w:t>
      </w:r>
      <w:proofErr w:type="spellEnd"/>
      <w:r w:rsidRPr="00EA401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4011">
        <w:rPr>
          <w:rFonts w:ascii="Times New Roman" w:hAnsi="Times New Roman"/>
          <w:bCs/>
          <w:sz w:val="28"/>
          <w:szCs w:val="28"/>
        </w:rPr>
        <w:t>Г.В.Тихомирова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hyperlink r:id="rId4" w:history="1">
        <w:r w:rsidRPr="009F753D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kvatihomirova</w:t>
        </w:r>
        <w:r w:rsidRPr="009F753D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@</w:t>
        </w:r>
        <w:r w:rsidRPr="009F753D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mail</w:t>
        </w:r>
        <w:r w:rsidRPr="009F753D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.</w:t>
        </w:r>
        <w:proofErr w:type="spellStart"/>
        <w:r w:rsidRPr="009F753D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4619E997" w14:textId="77777777" w:rsidR="00EB0EFE" w:rsidRDefault="00EB0EFE" w:rsidP="00EB0EF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«Кадры» решают всё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20</w:t>
      </w:r>
    </w:p>
    <w:p w14:paraId="6B23119B" w14:textId="77777777" w:rsidR="00EB0EFE" w:rsidRPr="009A5051" w:rsidRDefault="00EB0EFE" w:rsidP="00EB0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A5051">
        <w:rPr>
          <w:rFonts w:ascii="Times New Roman" w:hAnsi="Times New Roman" w:cs="Times New Roman"/>
          <w:b/>
          <w:bCs/>
          <w:i/>
          <w:iCs/>
        </w:rPr>
        <w:t>Аннотация</w:t>
      </w:r>
    </w:p>
    <w:p w14:paraId="06E71657" w14:textId="03D6825A" w:rsidR="00EB0EFE" w:rsidRPr="009A5051" w:rsidRDefault="00EB0EFE" w:rsidP="00EB0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A5051">
        <w:rPr>
          <w:rFonts w:ascii="Times New Roman" w:hAnsi="Times New Roman" w:cs="Times New Roman"/>
          <w:b/>
          <w:bCs/>
          <w:i/>
          <w:iCs/>
        </w:rPr>
        <w:t>В статье рассматривается история и современность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A5051">
        <w:rPr>
          <w:rFonts w:ascii="Times New Roman" w:hAnsi="Times New Roman" w:cs="Times New Roman"/>
          <w:b/>
          <w:bCs/>
          <w:i/>
          <w:iCs/>
        </w:rPr>
        <w:t>кинотеатральных систем с повышенной частотой смены кадров. Излагаются технические аспекты их функционирования и особенности восприятия изображения в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A5051">
        <w:rPr>
          <w:rFonts w:ascii="Times New Roman" w:hAnsi="Times New Roman" w:cs="Times New Roman"/>
          <w:b/>
          <w:bCs/>
          <w:i/>
          <w:iCs/>
        </w:rPr>
        <w:t xml:space="preserve">таких системах. Отмечается вклад отечественных и зарубежных </w:t>
      </w:r>
      <w:proofErr w:type="spellStart"/>
      <w:r w:rsidRPr="009A5051">
        <w:rPr>
          <w:rFonts w:ascii="Times New Roman" w:hAnsi="Times New Roman" w:cs="Times New Roman"/>
          <w:b/>
          <w:bCs/>
          <w:i/>
          <w:iCs/>
        </w:rPr>
        <w:t>кинотехников</w:t>
      </w:r>
      <w:proofErr w:type="spellEnd"/>
      <w:r w:rsidRPr="009A5051">
        <w:rPr>
          <w:rFonts w:ascii="Times New Roman" w:hAnsi="Times New Roman" w:cs="Times New Roman"/>
          <w:b/>
          <w:bCs/>
          <w:i/>
          <w:iCs/>
        </w:rPr>
        <w:t xml:space="preserve"> и кинематографистов в развитие систем кинематографа с высокой частотой кадров.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A5051">
        <w:rPr>
          <w:rFonts w:ascii="Times New Roman" w:hAnsi="Times New Roman" w:cs="Times New Roman"/>
          <w:b/>
          <w:bCs/>
          <w:i/>
          <w:iCs/>
        </w:rPr>
        <w:t>Указывается на перспективность перехода к новым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A5051">
        <w:rPr>
          <w:rFonts w:ascii="Times New Roman" w:hAnsi="Times New Roman" w:cs="Times New Roman"/>
          <w:b/>
          <w:bCs/>
          <w:i/>
          <w:iCs/>
        </w:rPr>
        <w:t>стандартам частоты смены кадров в кинематографе.</w:t>
      </w:r>
    </w:p>
    <w:p w14:paraId="6A50C3B2" w14:textId="77777777" w:rsidR="00EB0EFE" w:rsidRDefault="00EB0EFE" w:rsidP="00EB0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A5051">
        <w:rPr>
          <w:rFonts w:ascii="Times New Roman" w:hAnsi="Times New Roman" w:cs="Times New Roman"/>
          <w:b/>
          <w:bCs/>
          <w:i/>
          <w:iCs/>
        </w:rPr>
        <w:t>Ключевые слова: система кинематографа, частота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A5051">
        <w:rPr>
          <w:rFonts w:ascii="Times New Roman" w:hAnsi="Times New Roman" w:cs="Times New Roman"/>
          <w:b/>
          <w:bCs/>
          <w:i/>
          <w:iCs/>
        </w:rPr>
        <w:t>смены кадров, высокая частота кадров, HFR.</w:t>
      </w:r>
    </w:p>
    <w:p w14:paraId="508A5884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FE"/>
    <w:rsid w:val="00085BBB"/>
    <w:rsid w:val="000E2A40"/>
    <w:rsid w:val="00E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E4159"/>
  <w15:chartTrackingRefBased/>
  <w15:docId w15:val="{A9849B03-4749-4451-BEF8-614BD32D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E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0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atiho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2021-12-20T12:05:00Z</dcterms:created>
  <dcterms:modified xsi:type="dcterms:W3CDTF">2021-12-20T12:06:00Z</dcterms:modified>
</cp:coreProperties>
</file>