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С.Б. Бирючинский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vertAlign w:val="baseline"/>
          <w:rtl w:val="0"/>
        </w:rPr>
        <w:t xml:space="preserve">Проекционные оптические системы для литографии</w:t>
        <w:tab/>
        <w:tab/>
        <w:tab/>
        <w:tab/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vertAlign w:val="baseline"/>
          <w:rtl w:val="0"/>
        </w:rPr>
        <w:tab/>
        <w:t xml:space="preserve">22-26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Аннотация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08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В работе рассмотрены основные процедуры оптимизации литографического объектива на длину волны 365 нм. Показан вариант системы и даны рекомендации по оптическим расчётам подобных объективов.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08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Ключевые слова: объектив, литография, аберрации.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PROJECTION OPTICAL SYSTEMS FOR LITHOGRAPHY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S. Biryuchinskiy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Abstract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08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In paper the basic optimisation procedures of a lithographic objective for length of a wave 365 nm are considered. The author's variant of system is shown and recommendations about optical calculations of similar objectives are made.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08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color w:val="000000"/>
          <w:sz w:val="20"/>
          <w:vertAlign w:val="baseline"/>
          <w:rtl w:val="0"/>
        </w:rPr>
        <w:t xml:space="preserve">Keywords: objective, lithograph, aberrations.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5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color w:val="000000"/>
          <w:sz w:val="20"/>
          <w:vertAlign w:val="baseline"/>
          <w:rtl w:val="0"/>
        </w:rPr>
        <w:t xml:space="preserve">Литература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0"/>
          <w:vertAlign w:val="baseline"/>
          <w:rtl w:val="0"/>
        </w:rPr>
        <w:t xml:space="preserve">1. </w:t>
      </w:r>
      <w:r w:rsidRPr="00000000" w:rsidR="00000000" w:rsidDel="00000000">
        <w:rPr>
          <w:rFonts w:cs="Times New Roman" w:hAnsi="Times New Roman" w:eastAsia="Times New Roman" w:ascii="Times New Roman"/>
          <w:i w:val="1"/>
          <w:color w:val="000000"/>
          <w:sz w:val="20"/>
          <w:vertAlign w:val="baseline"/>
          <w:rtl w:val="0"/>
        </w:rPr>
        <w:t xml:space="preserve">Milton Laikin.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0"/>
          <w:vertAlign w:val="baseline"/>
          <w:rtl w:val="0"/>
        </w:rPr>
        <w:t xml:space="preserve"> «Lens Design», Fourth Edition, CRC Press, 2006.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0"/>
          <w:vertAlign w:val="baseline"/>
          <w:rtl w:val="0"/>
        </w:rPr>
        <w:t xml:space="preserve">2. Патент США 8,314,922 (Nov.20, 2012).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3.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Бирючинский С.Б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. Киносъёмочные стереообъективы высокой чёткости // МТК, 2009,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08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color w:val="000000"/>
          <w:sz w:val="20"/>
          <w:vertAlign w:val="baseline"/>
          <w:rtl w:val="0"/>
        </w:rPr>
        <w:t xml:space="preserve">    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color w:val="000000"/>
          <w:sz w:val="20"/>
          <w:vertAlign w:val="baseline"/>
          <w:rtl w:val="0"/>
        </w:rPr>
        <w:t xml:space="preserve">№ 13. С. 19-22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color w:val="000000"/>
          <w:sz w:val="20"/>
          <w:vertAlign w:val="baseline"/>
          <w:rtl w:val="0"/>
        </w:rPr>
        <w:t xml:space="preserve">.</w:t>
      </w:r>
      <w:r w:rsidRPr="00000000" w:rsidR="00000000" w:rsidDel="00000000">
        <w:rPr>
          <w:rtl w:val="0"/>
        </w:rPr>
      </w:r>
    </w:p>
    <w:sectPr>
      <w:pgSz w:w="11906" w:h="16838"/>
      <w:pgMar w:left="1134" w:right="1134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сайт в содержание МТК30.docx</dc:title>
</cp:coreProperties>
</file>