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 w:right="-112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А.С.Подгородняя,С.Б.Одиноков,Н.М.Вереникина, В.И.Бобринев, А.Ю.Бетин, 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2"/>
          <w:vertAlign w:val="baseline"/>
          <w:rtl w:val="0"/>
        </w:rPr>
        <w:t xml:space="preserve">Е.Ю.Злоказов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-112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vertAlign w:val="baseline"/>
          <w:rtl w:val="0"/>
        </w:rPr>
        <w:t xml:space="preserve">Компьютерное моделирование и синтез одномерных микроголограмм Фурье для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-112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vertAlign w:val="baseline"/>
          <w:rtl w:val="0"/>
        </w:rPr>
        <w:t xml:space="preserve">оптико-голографической памяти</w:t>
      </w: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u w:val="none"/>
          <w:vertAlign w:val="baseline"/>
          <w:rtl w:val="0"/>
        </w:rPr>
        <w:t xml:space="preserve">.............................................................................................25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-112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0" w:right="-112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Аннотация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0" w:right="-112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0"/>
          <w:vertAlign w:val="baseline"/>
          <w:rtl w:val="0"/>
        </w:rPr>
        <w:t xml:space="preserve"> </w:t>
        <w:tab/>
        <w:t xml:space="preserve"> 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Представлен метод компьютерного синтеза голограмм Фурье. Показаны преимущества метода. Проанализирован дополнительный фазовый фильтр, необходимый для сглаживания спектра фурье-голограмм. Проведён анализ влияния фильтра на характеристики пространственно-частотного спектра.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708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Ключевые слова: одномерная голограмма Фурье, компьютерный синтез, пространственно-временной модулятор света.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z w:val="20"/>
          <w:vertAlign w:val="baseline"/>
          <w:rtl w:val="0"/>
        </w:rPr>
        <w:t xml:space="preserve">Computer modeling and synthesis of one-dimensional Fourier microholograms for optical holographic memory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360" w:before="4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z w:val="20"/>
          <w:vertAlign w:val="baseline"/>
          <w:rtl w:val="0"/>
        </w:rPr>
        <w:t xml:space="preserve">A.S. Podgorodnyaya, S.B. Odinokov, N.M. Verenikina, E.Yu. Zlokazov, V.I. Bobrinev, A.YuBetin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Abstrskt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A method of computer generation of Fourier holograms is presented. Advantages of a method are shown. The analysis of characteristics of the additional phase filter, which is necessary for smoothing of a range of Fourier holograms, is carried out. Influence of the filter on characteristics of the spatial-frequency range is analyzed.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u w:val="single"/>
          <w:vertAlign w:val="baseline"/>
          <w:rtl w:val="0"/>
        </w:rPr>
        <w:t xml:space="preserve">Key words: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 one-dimensional Fourier hologram, computer synthesis, spatially temporal light modulator.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426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4"/>
          <w:vertAlign w:val="baseline"/>
          <w:rtl w:val="0"/>
        </w:rPr>
        <w:t xml:space="preserve">литература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40" w:line="240" w:before="40"/>
        <w:ind w:left="567" w:hanging="56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L. Yaroslavsky, J. Astola. 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Introduction to Digital Holography, 2009,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40" w:line="240" w:before="4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      p. 189.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 S. Hunter, F. Kiamelev, S. Esener, D. Parthenopoulos, P. Rentzepis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. Potentials of two–photon based 3–D optical memories for high performance computing, Appl. Opt.  1990. № 29, p. 2058–2066.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40" w:line="240" w:before="4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А.Ю. Бетин, В.И. Бобринев, Е.Ю. Злоказов, С.Б. Одиноков и др.</w:t>
      </w: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 Метод компьютерного синтеза и проекционной записи микроголограмм для систем голографической памяти: математическое моделирование и экспериментальная реализация, Квантовая электроника. № 43 (1), 2013, 87 – 89.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40" w:line="240" w:before="40"/>
        <w:ind w:left="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vertAlign w:val="baseline"/>
          <w:rtl w:val="0"/>
        </w:rPr>
        <w:t xml:space="preserve">С.Б. Одиноков, Н.М. Вереникина, А.С.  Подгородняя,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680"/>
        </w:tabs>
        <w:spacing w:lineRule="auto" w:after="200" w:line="240" w:before="0"/>
        <w:ind w:left="36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color w:val="000000"/>
          <w:sz w:val="20"/>
          <w:u w:val="none"/>
          <w:vertAlign w:val="baseline"/>
          <w:rtl w:val="0"/>
        </w:rPr>
        <w:t xml:space="preserve">С.C. Донченко.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0"/>
          <w:u w:val="none"/>
          <w:vertAlign w:val="baseline"/>
          <w:rtl w:val="0"/>
        </w:rPr>
        <w:t xml:space="preserve">Метод и оптическая система получения компьютерно-синтезированных микроголограмм голографического диска памяти. Вестник МГТУ. №610, 2013, 99-109.</w:t>
      </w: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rFonts w:cs="Arial" w:hAnsi="Arial" w:eastAsia="Arial" w:ascii="Arial"/>
        <w:b w:val="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сайта МТК 31 содержание.docx</dc:title>
</cp:coreProperties>
</file>