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9"/>
        <w:spacing w:before="0" w:after="0"/>
        <w:ind w:left="720" w:hanging="720"/>
      </w:pPr>
      <w:r>
        <w:rPr>
          <w:sz w:val="28"/>
          <w:szCs w:val="28"/>
        </w:rPr>
        <w:t>М.А. Грачёва, Г.И.</w:t>
      </w:r>
      <w:r>
        <w:rPr>
          <w:b/>
          <w:bCs/>
          <w:sz w:val="32"/>
          <w:szCs w:val="32"/>
        </w:rPr>
        <w:t xml:space="preserve"> </w:t>
      </w:r>
      <w:r>
        <w:rPr>
          <w:sz w:val="28"/>
          <w:szCs w:val="28"/>
        </w:rPr>
        <w:t xml:space="preserve">Рожкова </w:t>
      </w:r>
      <w:r/>
    </w:p>
    <w:p>
      <w:pPr>
        <w:pStyle w:val="Style19"/>
        <w:spacing w:before="0" w:after="0"/>
        <w:ind w:left="720" w:hanging="720"/>
        <w:rPr>
          <w:sz w:val="28"/>
          <w:sz w:val="28"/>
          <w:szCs w:val="28"/>
          <w:bCs/>
          <w:rFonts w:ascii="Times New Roman" w:hAnsi="Times New Roman" w:eastAsia="Times New Roman" w:cs="Times New Roman"/>
          <w:color w:val="auto"/>
          <w:lang w:val="ru-RU" w:bidi="ar-SA"/>
        </w:rPr>
      </w:pPr>
      <w:r>
        <w:rPr>
          <w:bCs/>
          <w:sz w:val="28"/>
          <w:szCs w:val="28"/>
        </w:rPr>
        <w:t xml:space="preserve">Восприятие стереоизображений людьми с так называемой </w:t>
      </w:r>
      <w:r/>
    </w:p>
    <w:p>
      <w:pPr>
        <w:pStyle w:val="Style19"/>
        <w:spacing w:before="0" w:after="0"/>
        <w:ind w:left="720" w:hanging="720"/>
        <w:rPr>
          <w:sz w:val="28"/>
          <w:sz w:val="28"/>
          <w:szCs w:val="28"/>
          <w:bCs/>
          <w:rFonts w:ascii="Times New Roman" w:hAnsi="Times New Roman" w:eastAsia="Times New Roman" w:cs="Times New Roman"/>
          <w:color w:val="auto"/>
          <w:lang w:val="ru-RU" w:bidi="ar-SA"/>
        </w:rPr>
      </w:pPr>
      <w:r>
        <w:rPr>
          <w:bCs/>
          <w:sz w:val="28"/>
          <w:szCs w:val="28"/>
        </w:rPr>
        <w:t xml:space="preserve">«стереослепотой» </w:t>
        <w:tab/>
        <w:tab/>
        <w:tab/>
        <w:tab/>
        <w:tab/>
        <w:tab/>
        <w:tab/>
        <w:tab/>
        <w:tab/>
        <w:t xml:space="preserve">        24</w:t>
      </w:r>
      <w:r/>
    </w:p>
    <w:p>
      <w:pPr>
        <w:pStyle w:val="Normal"/>
        <w:suppressAutoHyphens w:val="false"/>
        <w:rPr>
          <w:sz w:val="24"/>
          <w:i/>
          <w:b/>
          <w:sz w:val="24"/>
          <w:i/>
          <w:b/>
          <w:szCs w:val="24"/>
          <w:rFonts w:ascii="Times New Roman" w:hAnsi="Times New Roman" w:eastAsia="Calibri" w:cs="Times New Roman"/>
          <w:color w:val="auto"/>
          <w:lang w:val="uk-UA" w:eastAsia="uk-UA" w:bidi="ar-SA"/>
        </w:rPr>
      </w:pPr>
      <w:r>
        <w:rPr>
          <w:rFonts w:cs="Times New Roman" w:ascii="Times New Roman" w:hAnsi="Times New Roman"/>
          <w:b/>
          <w:i/>
          <w:sz w:val="24"/>
          <w:szCs w:val="24"/>
          <w:lang w:val="uk-UA" w:eastAsia="uk-UA"/>
        </w:rPr>
        <w:t>Аннотация</w:t>
      </w:r>
      <w:r/>
    </w:p>
    <w:p>
      <w:pPr>
        <w:pStyle w:val="Normal"/>
        <w:suppressAutoHyphens w:val="false"/>
        <w:ind w:firstLine="708"/>
      </w:pPr>
      <w:r>
        <w:rPr>
          <w:rFonts w:cs="Times New Roman" w:ascii="Times New Roman" w:hAnsi="Times New Roman"/>
          <w:b/>
          <w:i/>
          <w:sz w:val="24"/>
          <w:szCs w:val="24"/>
          <w:lang w:val="uk-UA" w:eastAsia="uk-UA"/>
        </w:rPr>
        <w:t>Обсуждаются особенности восприятия стереофильмов зрителями c так называемой «стереослепотой» и другими аномалиями стереозрения. Очевидно, что успешно наблюдать все стереоэффекты могут лишь зрители с нормальным стереозрением. Однако в настоящее время выясняется, что люди с сильно сниженной остротой стереозрения</w:t>
      </w:r>
      <w:r>
        <w:rPr>
          <w:rFonts w:cs="Times New Roman" w:ascii="Times New Roman" w:hAnsi="Times New Roman"/>
          <w:b/>
          <w:i/>
          <w:sz w:val="24"/>
          <w:szCs w:val="24"/>
          <w:lang w:eastAsia="uk-UA"/>
        </w:rPr>
        <w:t>,</w:t>
      </w:r>
      <w:r>
        <w:rPr>
          <w:rFonts w:cs="Times New Roman" w:ascii="Times New Roman" w:hAnsi="Times New Roman"/>
          <w:b/>
          <w:i/>
          <w:sz w:val="24"/>
          <w:szCs w:val="24"/>
          <w:lang w:val="uk-UA" w:eastAsia="uk-UA"/>
        </w:rPr>
        <w:t xml:space="preserve"> и даже клинически стереослепые, способны замечать преимущества 3D фильмов перед обычными 2D фильмами в отношении пространственных впечатлений и могут наблюдать стереоэффекты при типичных для стереофильмов значениях бинокулярных параллаксов. В наших экспериментах эта способность была исследована на испытуемых с нормальным стереозрением, «превращаемых в стереослепых» путём искусственного расфокусирования сетчаточных изображений. </w:t>
      </w:r>
      <w:r/>
    </w:p>
    <w:p>
      <w:pPr>
        <w:pStyle w:val="Normal"/>
        <w:suppressAutoHyphens w:val="false"/>
        <w:ind w:firstLine="708"/>
        <w:rPr>
          <w:sz w:val="24"/>
          <w:i/>
          <w:b/>
          <w:sz w:val="24"/>
          <w:i/>
          <w:b/>
          <w:szCs w:val="24"/>
          <w:rFonts w:ascii="Times New Roman" w:hAnsi="Times New Roman" w:eastAsia="Calibri" w:cs="Times New Roman"/>
          <w:color w:val="auto"/>
          <w:lang w:val="uk-UA" w:eastAsia="uk-UA" w:bidi="ar-SA"/>
        </w:rPr>
      </w:pPr>
      <w:r>
        <w:rPr>
          <w:rFonts w:cs="Times New Roman" w:ascii="Times New Roman" w:hAnsi="Times New Roman"/>
          <w:b/>
          <w:i/>
          <w:sz w:val="24"/>
          <w:szCs w:val="24"/>
          <w:lang w:val="uk-UA" w:eastAsia="uk-UA"/>
        </w:rPr>
        <w:t>Ключевые слова: стереоизображения, пространственное восприятие, острота стереозрения, стереослепота, стереотесты.</w:t>
      </w:r>
      <w:r/>
    </w:p>
    <w:p>
      <w:pPr>
        <w:pStyle w:val="Normal"/>
        <w:suppressAutoHyphens w:val="false"/>
        <w:jc w:val="center"/>
        <w:rPr>
          <w:sz w:val="24"/>
          <w:b/>
          <w:sz w:val="24"/>
          <w:b/>
          <w:szCs w:val="24"/>
          <w:rFonts w:ascii="Times New Roman" w:hAnsi="Times New Roman" w:eastAsia="Calibri" w:cs="Times New Roman"/>
          <w:color w:val="auto"/>
          <w:lang w:val="ru-RU" w:eastAsia="uk-UA" w:bidi="ar-SA"/>
        </w:rPr>
      </w:pPr>
      <w:r>
        <w:rPr>
          <w:rFonts w:cs="Times New Roman" w:ascii="Times New Roman" w:hAnsi="Times New Roman"/>
          <w:b/>
          <w:sz w:val="24"/>
          <w:szCs w:val="24"/>
          <w:lang w:eastAsia="uk-UA"/>
        </w:rPr>
      </w:r>
      <w:r/>
    </w:p>
    <w:p>
      <w:pPr>
        <w:pStyle w:val="Normal"/>
        <w:suppressAutoHyphens w:val="false"/>
        <w:jc w:val="center"/>
        <w:rPr>
          <w:sz w:val="24"/>
          <w:b/>
          <w:sz w:val="24"/>
          <w:b/>
          <w:szCs w:val="24"/>
          <w:rFonts w:ascii="Times New Roman" w:hAnsi="Times New Roman" w:eastAsia="Calibri" w:cs="Times New Roman"/>
          <w:color w:val="auto"/>
          <w:lang w:val="en-US" w:eastAsia="uk-UA" w:bidi="ar-SA"/>
        </w:rPr>
      </w:pPr>
      <w:r>
        <w:rPr>
          <w:rFonts w:cs="Times New Roman" w:ascii="Times New Roman" w:hAnsi="Times New Roman"/>
          <w:b/>
          <w:sz w:val="24"/>
          <w:szCs w:val="24"/>
          <w:lang w:val="en-US" w:eastAsia="uk-UA"/>
        </w:rPr>
        <w:t>PERCEPTION OF STEREO IMAGES BY SUBJECTS WITH SO CALLED “STEREOBLINDNESS”</w:t>
      </w:r>
      <w:r/>
    </w:p>
    <w:p>
      <w:pPr>
        <w:pStyle w:val="Normal"/>
        <w:suppressAutoHyphens w:val="false"/>
        <w:rPr>
          <w:sz w:val="24"/>
          <w:b/>
          <w:sz w:val="24"/>
          <w:b/>
          <w:szCs w:val="24"/>
          <w:rFonts w:ascii="Times New Roman" w:hAnsi="Times New Roman" w:eastAsia="Calibri" w:cs="Times New Roman"/>
          <w:color w:val="auto"/>
          <w:lang w:val="uk-UA" w:eastAsia="uk-UA" w:bidi="ar-SA"/>
        </w:rPr>
      </w:pPr>
      <w:r>
        <w:rPr>
          <w:rFonts w:cs="Times New Roman" w:ascii="Times New Roman" w:hAnsi="Times New Roman"/>
          <w:b/>
          <w:sz w:val="24"/>
          <w:szCs w:val="24"/>
          <w:lang w:val="uk-UA" w:eastAsia="uk-UA"/>
        </w:rPr>
        <w:t xml:space="preserve">M. Gracheva, G. Rozhkova </w:t>
      </w:r>
      <w:r/>
    </w:p>
    <w:p>
      <w:pPr>
        <w:pStyle w:val="Normal"/>
        <w:suppressAutoHyphens w:val="false"/>
        <w:rPr>
          <w:sz w:val="24"/>
          <w:b/>
          <w:sz w:val="24"/>
          <w:b/>
          <w:szCs w:val="24"/>
          <w:rFonts w:ascii="Times New Roman" w:hAnsi="Times New Roman" w:eastAsia="Calibri" w:cs="Times New Roman"/>
          <w:color w:val="auto"/>
          <w:lang w:val="uk-UA" w:eastAsia="uk-UA" w:bidi="ar-SA"/>
        </w:rPr>
      </w:pPr>
      <w:r>
        <w:rPr>
          <w:rFonts w:cs="Times New Roman" w:ascii="Times New Roman" w:hAnsi="Times New Roman"/>
          <w:b/>
          <w:sz w:val="24"/>
          <w:szCs w:val="24"/>
          <w:lang w:val="uk-UA" w:eastAsia="uk-UA"/>
        </w:rPr>
      </w:r>
      <w:r/>
    </w:p>
    <w:p>
      <w:pPr>
        <w:pStyle w:val="Normal"/>
        <w:suppressAutoHyphens w:val="false"/>
        <w:rPr>
          <w:sz w:val="24"/>
          <w:i/>
          <w:b/>
          <w:sz w:val="24"/>
          <w:i/>
          <w:b/>
          <w:szCs w:val="24"/>
          <w:rFonts w:ascii="Times New Roman" w:hAnsi="Times New Roman" w:eastAsia="Calibri" w:cs="Times New Roman"/>
          <w:color w:val="auto"/>
          <w:lang w:val="uk-UA" w:eastAsia="uk-UA" w:bidi="ar-SA"/>
        </w:rPr>
      </w:pPr>
      <w:r>
        <w:rPr>
          <w:rFonts w:cs="Times New Roman" w:ascii="Times New Roman" w:hAnsi="Times New Roman"/>
          <w:b/>
          <w:i/>
          <w:sz w:val="24"/>
          <w:szCs w:val="24"/>
          <w:lang w:val="uk-UA" w:eastAsia="uk-UA"/>
        </w:rPr>
        <w:t>Abstract</w:t>
      </w:r>
      <w:r/>
    </w:p>
    <w:p>
      <w:pPr>
        <w:pStyle w:val="Normal"/>
        <w:suppressAutoHyphens w:val="false"/>
        <w:ind w:firstLine="708"/>
        <w:rPr>
          <w:sz w:val="24"/>
          <w:i/>
          <w:b/>
          <w:sz w:val="24"/>
          <w:i/>
          <w:b/>
          <w:szCs w:val="24"/>
          <w:rFonts w:ascii="Times New Roman" w:hAnsi="Times New Roman" w:eastAsia="Calibri" w:cs="Times New Roman"/>
          <w:color w:val="auto"/>
          <w:lang w:val="uk-UA" w:eastAsia="uk-UA" w:bidi="ar-SA"/>
        </w:rPr>
      </w:pPr>
      <w:r>
        <w:rPr>
          <w:rFonts w:cs="Times New Roman" w:ascii="Times New Roman" w:hAnsi="Times New Roman"/>
          <w:b/>
          <w:i/>
          <w:sz w:val="24"/>
          <w:szCs w:val="24"/>
          <w:lang w:val="uk-UA" w:eastAsia="uk-UA"/>
        </w:rPr>
        <w:t xml:space="preserve">Some peculiarities of spatial perception in the case of viewing stereo movies by the spectators with so called “stereoblindness” and other anomalies of stereo vision has been considered. It is obvious that, for successful observation of all stereo effects, the spectators need normal stereo vision. However, at present, it becomes clear that the spectators with significantly lowered stereo acuity and even people with clinical stereoblindness could also notice the advantages of 3D over 2D movies as concerned spatial impressions and could observe stereo effects corresponding to the typical values of binocular parallaxes. In our experiments, this capability was studied on subjects with normal stereo vision “transformed into stereoblind ones” by means of artificial defocusing retinal images. </w:t>
      </w:r>
      <w:r/>
    </w:p>
    <w:p>
      <w:pPr>
        <w:pStyle w:val="Normal"/>
        <w:suppressAutoHyphens w:val="false"/>
        <w:ind w:firstLine="708"/>
      </w:pPr>
      <w:r>
        <w:rPr>
          <w:rFonts w:cs="Times New Roman" w:ascii="Times New Roman" w:hAnsi="Times New Roman"/>
          <w:b/>
          <w:i/>
          <w:sz w:val="24"/>
          <w:szCs w:val="24"/>
          <w:lang w:val="uk-UA" w:eastAsia="uk-UA"/>
        </w:rPr>
        <w:t>Keywords: stereo images, space perception, stereo acuity, stereo blindness, stereotests</w:t>
      </w:r>
      <w:r>
        <w:rPr>
          <w:rFonts w:cs="Times New Roman" w:ascii="Times New Roman" w:hAnsi="Times New Roman"/>
          <w:b/>
          <w:i/>
          <w:sz w:val="24"/>
          <w:szCs w:val="24"/>
          <w:lang w:val="en-US" w:eastAsia="uk-UA"/>
        </w:rPr>
        <w:t>.</w:t>
      </w:r>
      <w:r/>
    </w:p>
    <w:p>
      <w:pPr>
        <w:pStyle w:val="Style19"/>
        <w:spacing w:before="0" w:after="0"/>
        <w:ind w:left="720" w:hanging="720"/>
        <w:rPr>
          <w:sz w:val="28"/>
          <w:sz w:val="28"/>
          <w:szCs w:val="28"/>
          <w:rFonts w:ascii="Times New Roman" w:hAnsi="Times New Roman" w:eastAsia="Times New Roman" w:cs="Times New Roman"/>
          <w:color w:val="auto"/>
          <w:lang w:val="ru-RU" w:bidi="ar-SA"/>
        </w:rPr>
      </w:pPr>
      <w:r>
        <w:rPr>
          <w:sz w:val="28"/>
          <w:szCs w:val="28"/>
        </w:rPr>
      </w: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pPr>
      <w:widowControl/>
      <w:suppressAutoHyphens w:val="true"/>
      <w:bidi w:val="0"/>
      <w:spacing w:lineRule="auto" w:line="276" w:before="0" w:after="200"/>
    </w:pPr>
    <w:rPr>
      <w:rFonts w:ascii="Calibri" w:hAnsi="Calibri" w:eastAsia="Calibri" w:cs="Calibri"/>
      <w:color w:val="auto"/>
      <w:sz w:val="22"/>
      <w:szCs w:val="22"/>
      <w:lang w:val="ru-RU" w:bidi="ar-SA" w:eastAsia="zh-CN"/>
    </w:rPr>
  </w:style>
  <w:style w:type="paragraph" w:styleId="2">
    <w:name w:val="Заголовок 2"/>
    <w:basedOn w:val="Normal"/>
    <w:next w:val="Style15"/>
    <w:pPr>
      <w:keepNext/>
      <w:numPr>
        <w:ilvl w:val="1"/>
        <w:numId w:val="2"/>
      </w:numPr>
      <w:spacing w:lineRule="auto" w:line="240" w:before="198" w:after="0"/>
      <w:outlineLvl w:val="1"/>
      <w:outlineLvl w:val="1"/>
    </w:pPr>
    <w:rPr>
      <w:rFonts w:ascii="Times New Roman" w:hAnsi="Times New Roman" w:eastAsia="Times New Roman" w:cs="Times New Roman"/>
      <w:b/>
      <w:bCs/>
      <w:sz w:val="36"/>
      <w:szCs w:val="36"/>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Style13">
    <w:name w:val="Основной шрифт абзаца"/>
    <w:rPr/>
  </w:style>
  <w:style w:type="character" w:styleId="21">
    <w:name w:val="Основной шрифт абзаца2"/>
    <w:rPr/>
  </w:style>
  <w:style w:type="character" w:styleId="1">
    <w:name w:val="Основной шрифт абзаца1"/>
    <w:rPr/>
  </w:style>
  <w:style w:type="character" w:styleId="22">
    <w:name w:val="Заголовок 2 Знак"/>
    <w:basedOn w:val="1"/>
    <w:rPr>
      <w:rFonts w:ascii="Times New Roman" w:hAnsi="Times New Roman" w:eastAsia="Times New Roman" w:cs="Times New Roman"/>
      <w:b/>
      <w:bCs/>
      <w:sz w:val="36"/>
      <w:szCs w:val="36"/>
    </w:rPr>
  </w:style>
  <w:style w:type="paragraph" w:styleId="Style14">
    <w:name w:val="Заголовок"/>
    <w:basedOn w:val="Normal"/>
    <w:next w:val="Style15"/>
    <w:pPr>
      <w:keepNext/>
      <w:spacing w:before="240" w:after="120"/>
    </w:pPr>
    <w:rPr>
      <w:rFonts w:ascii="Arial" w:hAnsi="Arial" w:eastAsia="Arial Unicode MS" w:cs="Tahoma"/>
      <w:sz w:val="28"/>
      <w:szCs w:val="28"/>
    </w:rPr>
  </w:style>
  <w:style w:type="paragraph" w:styleId="Style15">
    <w:name w:val="Основной текст"/>
    <w:basedOn w:val="Normal"/>
    <w:pPr>
      <w:spacing w:before="0" w:after="120"/>
    </w:pPr>
    <w:rPr/>
  </w:style>
  <w:style w:type="paragraph" w:styleId="Style16">
    <w:name w:val="Список"/>
    <w:basedOn w:val="Style15"/>
    <w:pPr/>
    <w:rPr>
      <w:rFonts w:cs="Tahoma"/>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paragraph" w:styleId="23">
    <w:name w:val="Название2"/>
    <w:basedOn w:val="Normal"/>
    <w:pPr>
      <w:suppressLineNumbers/>
      <w:spacing w:before="120" w:after="120"/>
    </w:pPr>
    <w:rPr>
      <w:rFonts w:cs="Tahoma"/>
      <w:i/>
      <w:iCs/>
      <w:sz w:val="24"/>
      <w:szCs w:val="24"/>
    </w:rPr>
  </w:style>
  <w:style w:type="paragraph" w:styleId="24">
    <w:name w:val="Указатель2"/>
    <w:basedOn w:val="Normal"/>
    <w:pPr>
      <w:suppressLineNumbers/>
    </w:pPr>
    <w:rPr>
      <w:rFonts w:cs="Tahoma"/>
    </w:rPr>
  </w:style>
  <w:style w:type="paragraph" w:styleId="11">
    <w:name w:val="Название1"/>
    <w:basedOn w:val="Normal"/>
    <w:pPr>
      <w:suppressLineNumbers/>
      <w:spacing w:before="120" w:after="120"/>
    </w:pPr>
    <w:rPr>
      <w:rFonts w:cs="Tahoma"/>
      <w:i/>
      <w:iCs/>
      <w:sz w:val="24"/>
      <w:szCs w:val="24"/>
    </w:rPr>
  </w:style>
  <w:style w:type="paragraph" w:styleId="12">
    <w:name w:val="Указатель1"/>
    <w:basedOn w:val="Normal"/>
    <w:pPr>
      <w:suppressLineNumbers/>
    </w:pPr>
    <w:rPr>
      <w:rFonts w:cs="Tahoma"/>
    </w:rPr>
  </w:style>
  <w:style w:type="paragraph" w:styleId="Style19">
    <w:name w:val="Обычный (веб)"/>
    <w:basedOn w:val="Normal"/>
    <w:pPr>
      <w:spacing w:lineRule="auto" w:line="240" w:before="280" w:after="119"/>
    </w:pPr>
    <w:rPr>
      <w:rFonts w:ascii="Times New Roman" w:hAnsi="Times New Roman" w:eastAsia="Times New Roman" w:cs="Times New Roman"/>
      <w:sz w:val="24"/>
      <w:szCs w:val="24"/>
    </w:rPr>
  </w:style>
  <w:style w:type="paragraph" w:styleId="Western">
    <w:name w:val="western"/>
    <w:basedOn w:val="Normal"/>
    <w:pPr>
      <w:spacing w:lineRule="auto" w:line="360" w:before="280" w:after="280"/>
      <w:jc w:val="both"/>
    </w:pPr>
    <w:rPr>
      <w:rFonts w:ascii="Arial" w:hAnsi="Arial" w:eastAsia="Times New Roman" w:cs="Arial"/>
      <w:sz w:val="20"/>
      <w:szCs w:val="20"/>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2706</TotalTime>
  <Application>LibreOffice/4.3.5.2$Windows_x86 LibreOffice_project/3a87456aaa6a95c63eea1c1b3201acedf0751bd5</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2014-12-18T15:45:00Z</dcterms:created>
  <dc:creator>tamarz</dc:creator>
  <dc:language>ru-RU</dc:language>
  <dcterms:modified xsi:type="dcterms:W3CDTF">2015-01-27T11:46:53Z</dcterms:modified>
  <cp:revision>5</cp:revision>
</cp:coreProperties>
</file>