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keepLines w:val="1"/>
        <w:widowControl w:val="1"/>
        <w:numPr>
          <w:ilvl w:val="1"/>
          <w:numId w:val="3"/>
        </w:numPr>
        <w:spacing w:after="0" w:before="0" w:line="240" w:lineRule="auto"/>
        <w:ind w:left="578" w:right="0" w:hanging="578"/>
        <w:jc w:val="left"/>
        <w:rPr>
          <w:rFonts w:ascii="Times New Roman" w:cs="Times New Roman" w:eastAsia="Times New Roman" w:hAnsi="Times New Roman"/>
          <w:b w:val="1"/>
          <w:i w:val="1"/>
          <w:color w:val="333333"/>
          <w:sz w:val="2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4f81bd"/>
          <w:sz w:val="24"/>
          <w:vertAlign w:val="baseline"/>
          <w:rtl w:val="0"/>
        </w:rPr>
        <w:t xml:space="preserve">Д.Дёмина,О.Негодова,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highlight w:val="white"/>
          <w:vertAlign w:val="baseline"/>
          <w:rtl w:val="0"/>
        </w:rPr>
        <w:t xml:space="preserve">D. Demina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highlight w:val="white"/>
          <w:vertAlign w:val="baseline"/>
          <w:rtl w:val="0"/>
        </w:rPr>
        <w:t xml:space="preserve">, O. Negodova,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2"/>
          <w:highlight w:val="white"/>
          <w:u w:val="single"/>
          <w:vertAlign w:val="baseline"/>
          <w:rtl w:val="0"/>
        </w:rPr>
        <w:t xml:space="preserve">dasha_k@mail.ru</w:t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1"/>
          <w:numId w:val="3"/>
        </w:numPr>
        <w:spacing w:after="0" w:before="0" w:line="276" w:lineRule="auto"/>
        <w:ind w:left="578" w:right="0" w:hanging="578"/>
        <w:jc w:val="left"/>
        <w:rPr>
          <w:rFonts w:ascii="Cambria" w:cs="Cambria" w:eastAsia="Cambria" w:hAnsi="Cambria"/>
          <w:b w:val="0"/>
          <w:color w:val="4f81bd"/>
          <w:sz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2"/>
          <w:vertAlign w:val="baseline"/>
          <w:rtl w:val="0"/>
        </w:rPr>
        <w:t xml:space="preserve">Стереокинематография в лингводидактике</w:t>
      </w:r>
      <w:r w:rsidDel="00000000" w:rsidR="00000000" w:rsidRPr="00000000">
        <w:rPr>
          <w:rFonts w:ascii="Cambria" w:cs="Cambria" w:eastAsia="Cambria" w:hAnsi="Cambria"/>
          <w:b w:val="0"/>
          <w:color w:val="4f81bd"/>
          <w:sz w:val="22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1"/>
          <w:numId w:val="3"/>
        </w:numPr>
        <w:spacing w:after="0" w:before="0" w:line="276" w:lineRule="auto"/>
        <w:ind w:left="578" w:right="0" w:hanging="578"/>
        <w:jc w:val="left"/>
        <w:rPr>
          <w:rFonts w:ascii="Cambria" w:cs="Cambria" w:eastAsia="Cambria" w:hAnsi="Cambria"/>
          <w:b w:val="0"/>
          <w:color w:val="4f81bd"/>
          <w:sz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highlight w:val="white"/>
          <w:vertAlign w:val="baseline"/>
          <w:rtl w:val="0"/>
        </w:rPr>
        <w:t xml:space="preserve">Stereoscopic cinematography in linguodidactics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2"/>
          <w:highlight w:val="white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color w:val="4f81bd"/>
          <w:sz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color w:val="4f81bd"/>
          <w:sz w:val="24"/>
          <w:vertAlign w:val="baseline"/>
          <w:rtl w:val="0"/>
        </w:rPr>
        <w:t xml:space="preserve">стр.6</w:t>
      </w:r>
    </w:p>
    <w:p w:rsidR="00000000" w:rsidDel="00000000" w:rsidP="00000000" w:rsidRDefault="00000000" w:rsidRPr="00000000">
      <w:pPr>
        <w:widowControl w:val="1"/>
        <w:spacing w:after="0" w:before="12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0"/>
          <w:highlight w:val="white"/>
          <w:vertAlign w:val="baseline"/>
          <w:rtl w:val="0"/>
        </w:rPr>
        <w:t xml:space="preserve">Аннотация: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Проведено исследование возможности применения технологии трёхмерной визуализации в лингводидактике. Изложены теоретические основы исследований, а также результаты практических испытаний.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578" w:right="0" w:hanging="578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Ключевые слова: технология трёхмерной визуализации; лингводидактика; вторичная языковая личность; иноязычная картина мира.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80"/>
          <w:sz w:val="20"/>
          <w:u w:val="none"/>
          <w:vertAlign w:val="baseline"/>
          <w:rtl w:val="0"/>
        </w:rPr>
        <w:t xml:space="preserve">Abstract: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Investigated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the possibility of applying the technology of three-dimensional visualization in linguodidactics. The teoretical account of the technology’s efficiency and the results of experimental teaching.</w:t>
      </w:r>
    </w:p>
    <w:p w:rsidR="00000000" w:rsidDel="00000000" w:rsidP="00000000" w:rsidRDefault="00000000" w:rsidRPr="00000000">
      <w:pPr>
        <w:widowControl w:val="1"/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Keywords: technology of three-dimensional visualization; linguodidactics; second language personality; foreign language world picture.</w:t>
      </w:r>
    </w:p>
    <w:p w:rsidR="00000000" w:rsidDel="00000000" w:rsidP="00000000" w:rsidRDefault="00000000" w:rsidRPr="00000000">
      <w:pPr>
        <w:widowControl w:val="1"/>
        <w:spacing w:after="0" w:before="0" w:line="276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Литература: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Гальскова Н.Д., Гез Н.И.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Теория обучения иностранным языкам: Лингводидактика и методика: учебное пособие. / М.: Издательский центр «Академия», 2004. - 336с.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Коул М., Скрибнер 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Культура и мышление. // Пер. с англ. П. Тульвисте. Под ред. А.Р. Лурия. / М.: Прогресс, 1977. – 264 с.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. Мелкумов А.С.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Стереоскопический кинематограф: учебное пособие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М.: ВГИК, 2013. – 142 с.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0"/>
          <w:sz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Соломин В.П., Шатровой О.В., Михайлов Л.А., Маликова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vertAlign w:val="baseline"/>
          <w:rtl w:val="0"/>
        </w:rPr>
        <w:t xml:space="preserve">Т.В.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vertAlign w:val="baseline"/>
          <w:rtl w:val="0"/>
        </w:rPr>
        <w:t xml:space="preserve"> Психологическая безопасность. [Электронный ресурс]. – Режим доступа: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80"/>
            <w:sz w:val="22"/>
            <w:u w:val="single"/>
            <w:vertAlign w:val="baseline"/>
            <w:rtl w:val="0"/>
          </w:rPr>
          <w:t xml:space="preserve">http://bookap.info/psywar/solomin_psihologicheskaya_bezopasnost/gl21.shtm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</w:pPr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1"/>
        <w:spacing w:after="0" w:before="28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://bookap.info/psywar/solomin_psihologicheskaya_bezopasnost/gl21.shtm" TargetMode="External"/><Relationship Id="rId5" Type="http://schemas.openxmlformats.org/officeDocument/2006/relationships/hyperlink" Target="http://bookap.info/psywar/solomin_psihologicheskaya_bezopasnost/gl21.shtm" TargetMode="External"/><Relationship Id="rId7" Type="http://schemas.openxmlformats.org/officeDocument/2006/relationships/hyperlink" Target="http://bookap.info/psywar/solomin_psihologicheskaya_bezopasnost/gl21.shtm" TargetMode="External"/></Relationships>
</file>